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r>
        <w:rPr>
          <w:sz w:val="12"/>
          <w:szCs w:val="12"/>
        </w:rPr>
        <w:t xml:space="preserve"> </w:t>
      </w:r>
    </w:p>
    <w:p>
      <w:pPr>
        <w:spacing w:after="80" w:before="0"/>
        <w:jc w:val="center"/>
      </w:pPr>
      <w:r>
        <w:rPr>
          <w:b/>
          <w:bCs/>
          <w:color w:val="0F2F4C"/>
          <w:sz w:val="80"/>
          <w:szCs w:val="80"/>
        </w:rPr>
        <w:t xml:space="preserve">BEST BOTTLES</w:t>
      </w:r>
    </w:p>
    <w:p>
      <w:pPr>
        <w:spacing w:after="240" w:before="0"/>
        <w:jc w:val="center"/>
      </w:pPr>
      <w:r>
        <w:rPr>
          <w:i/>
          <w:iCs/>
          <w:color w:val="B08D3A"/>
          <w:sz w:val="36"/>
          <w:szCs w:val="36"/>
        </w:rPr>
        <w:t xml:space="preserve">SEO · GEO · AEO · Social Audit</w:t>
      </w:r>
    </w:p>
    <w:p>
      <w:pPr>
        <w:spacing w:after="1200" w:before="0"/>
        <w:jc w:val="center"/>
      </w:pPr>
      <w:r>
        <w:rPr>
          <w:color w:val="4A5568"/>
          <w:sz w:val="28"/>
          <w:szCs w:val="28"/>
        </w:rPr>
        <w:t xml:space="preserve">Executive Summary</w:t>
      </w:r>
    </w:p>
    <w:p>
      <w:pPr>
        <w:spacing w:after="60" w:before="0"/>
        <w:jc w:val="center"/>
      </w:pPr>
      <w:r>
        <w:rPr>
          <w:color w:val="718096"/>
          <w:sz w:val="22"/>
          <w:szCs w:val="22"/>
        </w:rPr>
        <w:t xml:space="preserve">Asala Studio  ·  Jordan Richter  ·  jordan@asala.ai</w:t>
      </w:r>
    </w:p>
    <w:p>
      <w:pPr>
        <w:spacing w:after="60" w:before="0"/>
        <w:jc w:val="center"/>
      </w:pPr>
      <w:r>
        <w:rPr>
          <w:color w:val="718096"/>
          <w:sz w:val="22"/>
          <w:szCs w:val="22"/>
        </w:rPr>
        <w:t xml:space="preserve">Audit date: 2026-05-23  ·  Target launch: 2026-06-15  ·  23-day runway</w:t>
      </w:r>
    </w:p>
    <w:p>
      <w:pPr>
        <w:spacing w:after="60" w:before="0"/>
        <w:jc w:val="center"/>
      </w:pPr>
      <w:r>
        <w:rPr>
          <w:color w:val="718096"/>
          <w:sz w:val="22"/>
          <w:szCs w:val="22"/>
        </w:rPr>
        <w:t xml:space="preserve">Prepared for Abbas Nematullah + the Best Bottles team</w:t>
      </w:r>
    </w:p>
    <w:p>
      <w:r>
        <w:br w:type="page"/>
      </w:r>
    </w:p>
    <w:p>
      <w:pPr>
        <w:pStyle w:val="Heading1"/>
        <w:spacing w:after="120" w:before="360"/>
      </w:pPr>
      <w:r>
        <w:rPr>
          <w:b/>
          <w:bCs/>
          <w:color w:val="0F2F4C"/>
          <w:sz w:val="36"/>
          <w:szCs w:val="36"/>
        </w:rPr>
        <w:t xml:space="preserve">The headline</w:t>
      </w:r>
    </w:p>
    <w:p>
      <w:pPr>
        <w:spacing w:after="80" w:before="80"/>
        <w:jc w:val="left"/>
      </w:pPr>
      <w:r>
        <w:rPr>
          <w:sz w:val="22"/>
          <w:szCs w:val="22"/>
        </w:rPr>
        <w:t xml:space="preserve">The new Best Bottles site (Next.js 15 + Convex + Sanity, replacing the legacy PHP codebase at bestbottles.com on June 15) has a genuinely well-engineered SEO foundation — centralized metadata library, structured-data builders for Organization, WebSite, BreadcrumbList, Product, and CollectionPage, AI crawler allowlist already in place, clean OG and Twitter cards, nine thoughtfully-written blog posts already published, and a 1,559-line content calendar already in place.</w:t>
      </w:r>
    </w:p>
    <w:p>
      <w:pPr>
        <w:spacing w:after="80" w:before="80"/>
        <w:jc w:val="left"/>
      </w:pPr>
      <w:r>
        <w:rPr>
          <w:sz w:val="22"/>
          <w:szCs w:val="22"/>
        </w:rPr>
        <w:t xml:space="preserve">But six P0 launch-blockers were identified that would silently destroy SEO at launch if shipped as-is. All six have code-snippet fixes and acceptance criteria. One has already been resolved (the bestbottles.company staging domain was removed from the Vercel project today).</w:t>
      </w:r>
    </w:p>
    <w:p>
      <w:pPr>
        <w:spacing w:after="60" w:before="60"/>
      </w:pPr>
      <w:r>
        <w:rPr>
          <w:sz w:val="22"/>
          <w:szCs w:val="22"/>
        </w:rPr>
        <w:t xml:space="preserve">If the remaining five P0s are fixed in the next 23 days, the site launches in strong shape and is positioned to compound advantages over </w:t>
      </w:r>
      <w:r>
        <w:rPr>
          <w:i/>
          <w:iCs/>
          <w:sz w:val="22"/>
          <w:szCs w:val="22"/>
        </w:rPr>
        <w:t xml:space="preserve">SKS Bottle, Berlin Packaging, The Cary Company, O.Berk, Specialty Bottle, Container &amp; Packaging Supply, TricorBraun, and Bottles and More </w:t>
      </w:r>
      <w:r>
        <w:rPr>
          <w:sz w:val="22"/>
          <w:szCs w:val="22"/>
        </w:rPr>
        <w:t xml:space="preserve">within 90 days.</w:t>
      </w:r>
    </w:p>
    <w:p>
      <w:pPr>
        <w:spacing w:after="60" w:before="60"/>
      </w:pPr>
      <w:r>
        <w:rPr>
          <w:b/>
          <w:bCs/>
          <w:color w:val="C53030"/>
          <w:sz w:val="22"/>
          <w:szCs w:val="22"/>
        </w:rPr>
        <w:t xml:space="preserve">If they are not fixed</w:t>
      </w:r>
      <w:r>
        <w:rPr>
          <w:sz w:val="22"/>
          <w:szCs w:val="22"/>
        </w:rPr>
        <w:t xml:space="preserve">, expect a 30 to 60 day window of ranking collapse from canonical signal confusion, plus permanent loss of the contract-packaging service keyword cluster Best Bottles currently owns.</w:t>
      </w:r>
    </w:p>
    <w:p>
      <w:pPr>
        <w:pBdr>
          <w:bottom w:val="single" w:color="B08D3A" w:sz="6" w:space="1"/>
        </w:pBdr>
        <w:spacing w:after="120" w:before="120"/>
      </w:pPr>
    </w:p>
    <w:p>
      <w:pPr>
        <w:pStyle w:val="Heading2"/>
        <w:spacing w:after="100" w:before="280"/>
      </w:pPr>
      <w:r>
        <w:rPr>
          <w:b/>
          <w:bCs/>
          <w:color w:val="0F2F4C"/>
          <w:sz w:val="28"/>
          <w:szCs w:val="28"/>
        </w:rPr>
        <w:t xml:space="preserve">Readiness scores (today, before remediation)</w:t>
      </w:r>
    </w:p>
    <w:p>
      <w:pPr>
        <w:spacing w:after="80" w:before="80"/>
        <w:jc w:val="left"/>
      </w:pPr>
      <w:r>
        <w:rPr>
          <w:sz w:val="22"/>
          <w:szCs w:val="22"/>
        </w:rPr>
        <w:t xml:space="preserve">Five dimensions scored against minimum-viable thresholds for a confident June 15 launch.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880"/>
        <w:gridCol w:w="1880"/>
        <w:gridCol w:w="2000"/>
      </w:tblGrid>
      <w:tr>
        <w:trPr>
          <w:tblHeader/>
        </w:trPr>
        <w:tc>
          <w:tcPr>
            <w:tcW w:type="dxa" w:w="3600"/>
            <w:tcBorders>
              <w:top w:val="single" w:color="CCCCCC" w:sz="4"/>
              <w:left w:val="single" w:color="CCCCCC" w:sz="4"/>
              <w:bottom w:val="single" w:color="CCCCCC" w:sz="4"/>
              <w:right w:val="single" w:color="CCCCCC" w:sz="4"/>
            </w:tcBorders>
            <w:shd w:fill="0F2F4C" w:val="clear"/>
            <w:tcMar>
              <w:top w:type="dxa" w:w="100"/>
              <w:left w:type="dxa" w:w="140"/>
              <w:bottom w:type="dxa" w:w="100"/>
              <w:right w:type="dxa" w:w="140"/>
            </w:tcMar>
          </w:tcPr>
          <w:p>
            <w:r>
              <w:rPr>
                <w:b/>
                <w:bCs/>
                <w:color w:val="FFFFFF"/>
                <w:sz w:val="20"/>
                <w:szCs w:val="20"/>
              </w:rPr>
              <w:t xml:space="preserve">Dimension</w:t>
            </w:r>
          </w:p>
        </w:tc>
        <w:tc>
          <w:tcPr>
            <w:tcW w:type="dxa" w:w="1880"/>
            <w:tcBorders>
              <w:top w:val="single" w:color="CCCCCC" w:sz="4"/>
              <w:left w:val="single" w:color="CCCCCC" w:sz="4"/>
              <w:bottom w:val="single" w:color="CCCCCC" w:sz="4"/>
              <w:right w:val="single" w:color="CCCCCC" w:sz="4"/>
            </w:tcBorders>
            <w:shd w:fill="0F2F4C" w:val="clear"/>
            <w:tcMar>
              <w:top w:type="dxa" w:w="100"/>
              <w:left w:type="dxa" w:w="140"/>
              <w:bottom w:type="dxa" w:w="100"/>
              <w:right w:type="dxa" w:w="140"/>
            </w:tcMar>
          </w:tcPr>
          <w:p>
            <w:r>
              <w:rPr>
                <w:b/>
                <w:bCs/>
                <w:color w:val="FFFFFF"/>
                <w:sz w:val="20"/>
                <w:szCs w:val="20"/>
              </w:rPr>
              <w:t xml:space="preserve">Today</w:t>
            </w:r>
          </w:p>
        </w:tc>
        <w:tc>
          <w:tcPr>
            <w:tcW w:type="dxa" w:w="1880"/>
            <w:tcBorders>
              <w:top w:val="single" w:color="CCCCCC" w:sz="4"/>
              <w:left w:val="single" w:color="CCCCCC" w:sz="4"/>
              <w:bottom w:val="single" w:color="CCCCCC" w:sz="4"/>
              <w:right w:val="single" w:color="CCCCCC" w:sz="4"/>
            </w:tcBorders>
            <w:shd w:fill="0F2F4C" w:val="clear"/>
            <w:tcMar>
              <w:top w:type="dxa" w:w="100"/>
              <w:left w:type="dxa" w:w="140"/>
              <w:bottom w:type="dxa" w:w="100"/>
              <w:right w:type="dxa" w:w="140"/>
            </w:tcMar>
          </w:tcPr>
          <w:p>
            <w:r>
              <w:rPr>
                <w:b/>
                <w:bCs/>
                <w:color w:val="FFFFFF"/>
                <w:sz w:val="20"/>
                <w:szCs w:val="20"/>
              </w:rPr>
              <w:t xml:space="preserve">Min for launch</w:t>
            </w:r>
          </w:p>
        </w:tc>
        <w:tc>
          <w:tcPr>
            <w:tcW w:type="dxa" w:w="2000"/>
            <w:tcBorders>
              <w:top w:val="single" w:color="CCCCCC" w:sz="4"/>
              <w:left w:val="single" w:color="CCCCCC" w:sz="4"/>
              <w:bottom w:val="single" w:color="CCCCCC" w:sz="4"/>
              <w:right w:val="single" w:color="CCCCCC" w:sz="4"/>
            </w:tcBorders>
            <w:shd w:fill="0F2F4C" w:val="clear"/>
            <w:tcMar>
              <w:top w:type="dxa" w:w="100"/>
              <w:left w:type="dxa" w:w="140"/>
              <w:bottom w:type="dxa" w:w="100"/>
              <w:right w:type="dxa" w:w="140"/>
            </w:tcMar>
          </w:tcPr>
          <w:p>
            <w:r>
              <w:rPr>
                <w:b/>
                <w:bCs/>
                <w:color w:val="FFFFFF"/>
                <w:sz w:val="20"/>
                <w:szCs w:val="20"/>
              </w:rPr>
              <w:t xml:space="preserve">Status</w:t>
            </w:r>
          </w:p>
        </w:tc>
      </w:tr>
      <w:tr>
        <w:tc>
          <w:tcPr>
            <w:tcW w:type="dxa" w:w="3600"/>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sz w:val="20"/>
                <w:szCs w:val="20"/>
              </w:rPr>
              <w:t xml:space="preserve">Technical SEO</w:t>
            </w:r>
          </w:p>
        </w:tc>
        <w:tc>
          <w:tcPr>
            <w:tcW w:type="dxa" w:w="1880"/>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sz w:val="20"/>
                <w:szCs w:val="20"/>
              </w:rPr>
              <w:t xml:space="preserve">62 / 100</w:t>
            </w:r>
          </w:p>
        </w:tc>
        <w:tc>
          <w:tcPr>
            <w:tcW w:type="dxa" w:w="1880"/>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sz w:val="20"/>
                <w:szCs w:val="20"/>
              </w:rPr>
              <w:t xml:space="preserve">85 / 100</w:t>
            </w:r>
          </w:p>
        </w:tc>
        <w:tc>
          <w:tcPr>
            <w:tcW w:type="dxa" w:w="2000"/>
            <w:tcBorders>
              <w:top w:val="single" w:color="CCCCCC" w:sz="4"/>
              <w:left w:val="single" w:color="CCCCCC" w:sz="4"/>
              <w:bottom w:val="single" w:color="CCCCCC" w:sz="4"/>
              <w:right w:val="single" w:color="CCCCCC" w:sz="4"/>
            </w:tcBorders>
            <w:shd w:fill="FED7D7" w:val="clear"/>
            <w:tcMar>
              <w:top w:type="dxa" w:w="90"/>
              <w:left w:type="dxa" w:w="140"/>
              <w:bottom w:type="dxa" w:w="90"/>
              <w:right w:type="dxa" w:w="140"/>
            </w:tcMar>
          </w:tcPr>
          <w:p>
            <w:r>
              <w:rPr>
                <w:sz w:val="20"/>
                <w:szCs w:val="20"/>
              </w:rPr>
              <w:t xml:space="preserve">Fix 5 P0s + 5 P1s</w:t>
            </w:r>
          </w:p>
        </w:tc>
      </w:tr>
      <w:tr>
        <w:tc>
          <w:tcPr>
            <w:tcW w:type="dxa" w:w="3600"/>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sz w:val="20"/>
                <w:szCs w:val="20"/>
              </w:rPr>
              <w:t xml:space="preserve">GEO / AEO (AI search)</w:t>
            </w:r>
          </w:p>
        </w:tc>
        <w:tc>
          <w:tcPr>
            <w:tcW w:type="dxa" w:w="1880"/>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sz w:val="20"/>
                <w:szCs w:val="20"/>
              </w:rPr>
              <w:t xml:space="preserve">46 / 100</w:t>
            </w:r>
          </w:p>
        </w:tc>
        <w:tc>
          <w:tcPr>
            <w:tcW w:type="dxa" w:w="1880"/>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sz w:val="20"/>
                <w:szCs w:val="20"/>
              </w:rPr>
              <w:t xml:space="preserve">60 / 100</w:t>
            </w:r>
          </w:p>
        </w:tc>
        <w:tc>
          <w:tcPr>
            <w:tcW w:type="dxa" w:w="2000"/>
            <w:tcBorders>
              <w:top w:val="single" w:color="CCCCCC" w:sz="4"/>
              <w:left w:val="single" w:color="CCCCCC" w:sz="4"/>
              <w:bottom w:val="single" w:color="CCCCCC" w:sz="4"/>
              <w:right w:val="single" w:color="CCCCCC" w:sz="4"/>
            </w:tcBorders>
            <w:shd w:fill="FEEBC8" w:val="clear"/>
            <w:tcMar>
              <w:top w:type="dxa" w:w="90"/>
              <w:left w:type="dxa" w:w="140"/>
              <w:bottom w:type="dxa" w:w="90"/>
              <w:right w:type="dxa" w:w="140"/>
            </w:tcMar>
          </w:tcPr>
          <w:p>
            <w:r>
              <w:rPr>
                <w:sz w:val="20"/>
                <w:szCs w:val="20"/>
              </w:rPr>
              <w:t xml:space="preserve">Ship llms.txt + schema</w:t>
            </w:r>
          </w:p>
        </w:tc>
      </w:tr>
      <w:tr>
        <w:tc>
          <w:tcPr>
            <w:tcW w:type="dxa" w:w="3600"/>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sz w:val="20"/>
                <w:szCs w:val="20"/>
              </w:rPr>
              <w:t xml:space="preserve">Content depth</w:t>
            </w:r>
          </w:p>
        </w:tc>
        <w:tc>
          <w:tcPr>
            <w:tcW w:type="dxa" w:w="1880"/>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sz w:val="20"/>
                <w:szCs w:val="20"/>
              </w:rPr>
              <w:t xml:space="preserve">Strong (24 posts)</w:t>
            </w:r>
          </w:p>
        </w:tc>
        <w:tc>
          <w:tcPr>
            <w:tcW w:type="dxa" w:w="1880"/>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sz w:val="20"/>
                <w:szCs w:val="20"/>
              </w:rPr>
              <w:t xml:space="preserve">+ services page</w:t>
            </w:r>
          </w:p>
        </w:tc>
        <w:tc>
          <w:tcPr>
            <w:tcW w:type="dxa" w:w="2000"/>
            <w:tcBorders>
              <w:top w:val="single" w:color="CCCCCC" w:sz="4"/>
              <w:left w:val="single" w:color="CCCCCC" w:sz="4"/>
              <w:bottom w:val="single" w:color="CCCCCC" w:sz="4"/>
              <w:right w:val="single" w:color="CCCCCC" w:sz="4"/>
            </w:tcBorders>
            <w:shd w:fill="FEFCBF" w:val="clear"/>
            <w:tcMar>
              <w:top w:type="dxa" w:w="90"/>
              <w:left w:type="dxa" w:w="140"/>
              <w:bottom w:type="dxa" w:w="90"/>
              <w:right w:type="dxa" w:w="140"/>
            </w:tcMar>
          </w:tcPr>
          <w:p>
            <w:r>
              <w:rPr>
                <w:sz w:val="20"/>
                <w:szCs w:val="20"/>
              </w:rPr>
              <w:t xml:space="preserve">Week 13A in roadmap</w:t>
            </w:r>
          </w:p>
        </w:tc>
      </w:tr>
      <w:tr>
        <w:tc>
          <w:tcPr>
            <w:tcW w:type="dxa" w:w="3600"/>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sz w:val="20"/>
                <w:szCs w:val="20"/>
              </w:rPr>
              <w:t xml:space="preserve">Migration readiness</w:t>
            </w:r>
          </w:p>
        </w:tc>
        <w:tc>
          <w:tcPr>
            <w:tcW w:type="dxa" w:w="1880"/>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sz w:val="20"/>
                <w:szCs w:val="20"/>
              </w:rPr>
              <w:t xml:space="preserve">Not started</w:t>
            </w:r>
          </w:p>
        </w:tc>
        <w:tc>
          <w:tcPr>
            <w:tcW w:type="dxa" w:w="1880"/>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sz w:val="20"/>
                <w:szCs w:val="20"/>
              </w:rPr>
              <w:t xml:space="preserve">Required T-1</w:t>
            </w:r>
          </w:p>
        </w:tc>
        <w:tc>
          <w:tcPr>
            <w:tcW w:type="dxa" w:w="2000"/>
            <w:tcBorders>
              <w:top w:val="single" w:color="CCCCCC" w:sz="4"/>
              <w:left w:val="single" w:color="CCCCCC" w:sz="4"/>
              <w:bottom w:val="single" w:color="CCCCCC" w:sz="4"/>
              <w:right w:val="single" w:color="CCCCCC" w:sz="4"/>
            </w:tcBorders>
            <w:shd w:fill="FEEBC8" w:val="clear"/>
            <w:tcMar>
              <w:top w:type="dxa" w:w="90"/>
              <w:left w:type="dxa" w:w="140"/>
              <w:bottom w:type="dxa" w:w="90"/>
              <w:right w:type="dxa" w:w="140"/>
            </w:tcMar>
          </w:tcPr>
          <w:p>
            <w:r>
              <w:rPr>
                <w:sz w:val="20"/>
                <w:szCs w:val="20"/>
              </w:rPr>
              <w:t xml:space="preserve">Runbook ready to execute</w:t>
            </w:r>
          </w:p>
        </w:tc>
      </w:tr>
      <w:tr>
        <w:tc>
          <w:tcPr>
            <w:tcW w:type="dxa" w:w="3600"/>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sz w:val="20"/>
                <w:szCs w:val="20"/>
              </w:rPr>
              <w:t xml:space="preserve">Social presence</w:t>
            </w:r>
          </w:p>
        </w:tc>
        <w:tc>
          <w:tcPr>
            <w:tcW w:type="dxa" w:w="1880"/>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sz w:val="20"/>
                <w:szCs w:val="20"/>
              </w:rPr>
              <w:t xml:space="preserve">Minimal</w:t>
            </w:r>
          </w:p>
        </w:tc>
        <w:tc>
          <w:tcPr>
            <w:tcW w:type="dxa" w:w="1880"/>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sz w:val="20"/>
                <w:szCs w:val="20"/>
              </w:rPr>
              <w:t xml:space="preserve">Foundation set</w:t>
            </w:r>
          </w:p>
        </w:tc>
        <w:tc>
          <w:tcPr>
            <w:tcW w:type="dxa" w:w="2000"/>
            <w:tcBorders>
              <w:top w:val="single" w:color="CCCCCC" w:sz="4"/>
              <w:left w:val="single" w:color="CCCCCC" w:sz="4"/>
              <w:bottom w:val="single" w:color="CCCCCC" w:sz="4"/>
              <w:right w:val="single" w:color="CCCCCC" w:sz="4"/>
            </w:tcBorders>
            <w:shd w:fill="C6F6D5" w:val="clear"/>
            <w:tcMar>
              <w:top w:type="dxa" w:w="90"/>
              <w:left w:type="dxa" w:w="140"/>
              <w:bottom w:type="dxa" w:w="90"/>
              <w:right w:type="dxa" w:w="140"/>
            </w:tcMar>
          </w:tcPr>
          <w:p>
            <w:r>
              <w:rPr>
                <w:sz w:val="20"/>
                <w:szCs w:val="20"/>
              </w:rPr>
              <w:t xml:space="preserve">25 Higgsfield clips ready</w:t>
            </w:r>
          </w:p>
        </w:tc>
      </w:tr>
    </w:tbl>
    <w:p>
      <w:r>
        <w:rPr>
          <w:sz w:val="12"/>
          <w:szCs w:val="12"/>
        </w:rPr>
        <w:t xml:space="preserve"> </w:t>
      </w:r>
    </w:p>
    <w:p>
      <w:pPr>
        <w:pBdr>
          <w:bottom w:val="single" w:color="B08D3A" w:sz="6" w:space="1"/>
        </w:pBdr>
        <w:spacing w:after="120" w:before="120"/>
      </w:pPr>
    </w:p>
    <w:p>
      <w:pPr>
        <w:pStyle w:val="Heading1"/>
        <w:spacing w:after="120" w:before="360"/>
      </w:pPr>
      <w:r>
        <w:rPr>
          <w:b/>
          <w:bCs/>
          <w:color w:val="0F2F4C"/>
          <w:sz w:val="36"/>
          <w:szCs w:val="36"/>
        </w:rPr>
        <w:t xml:space="preserve">The six P0 launch-blockers</w:t>
      </w:r>
    </w:p>
    <w:p>
      <w:pPr>
        <w:spacing w:after="80" w:before="80"/>
        <w:jc w:val="left"/>
      </w:pPr>
      <w:r>
        <w:rPr>
          <w:sz w:val="22"/>
          <w:szCs w:val="22"/>
        </w:rPr>
        <w:t xml:space="preserve">Every finding cites real file paths, line numbers, or live URL evidence. None of these are speculative. Five remain open as of 2026-05-23.</w:t>
      </w:r>
    </w:p>
    <w:p>
      <w:pPr>
        <w:spacing w:after="80" w:before="200"/>
      </w:pPr>
      <w:r>
        <w:rPr>
          <w:b/>
          <w:bCs/>
          <w:color w:val="0F2F4C"/>
          <w:sz w:val="26"/>
          <w:szCs w:val="26"/>
        </w:rPr>
        <w:t xml:space="preserve">P0-1.  </w:t>
      </w:r>
      <w:r>
        <w:rPr>
          <w:b/>
          <w:bCs/>
          <w:color w:val="0F2F4C"/>
          <w:sz w:val="26"/>
          <w:szCs w:val="26"/>
        </w:rPr>
        <w:t xml:space="preserve">Staging site competing with legacy bestbottles.com  </w:t>
      </w:r>
      <w:r>
        <w:rPr>
          <w:b/>
          <w:bCs/>
          <w:color w:val="276749"/>
          <w:sz w:val="22"/>
          <w:szCs w:val="22"/>
        </w:rPr>
        <w:t xml:space="preserve">[RESOLVED]</w:t>
      </w:r>
    </w:p>
    <w:p>
      <w:pPr>
        <w:spacing w:after="80" w:before="80"/>
        <w:jc w:val="left"/>
      </w:pPr>
      <w:r>
        <w:rPr>
          <w:sz w:val="22"/>
          <w:szCs w:val="22"/>
        </w:rPr>
        <w:t xml:space="preserve">The staging site at bestbottles.company was fully indexable with self-canonical, competing with the legacy bestbottles.com for brand queries. Resolved 2026-05-23: the custom domain was removed from the Vercel project. Traffic to bestbottles.company now returns a Vercel 'not found' page that Google does not index.</w:t>
      </w:r>
    </w:p>
    <w:p>
      <w:pPr>
        <w:spacing w:after="80" w:before="200"/>
      </w:pPr>
      <w:r>
        <w:rPr>
          <w:b/>
          <w:bCs/>
          <w:color w:val="0F2F4C"/>
          <w:sz w:val="26"/>
          <w:szCs w:val="26"/>
        </w:rPr>
        <w:t xml:space="preserve">P0-2.  </w:t>
      </w:r>
      <w:r>
        <w:rPr>
          <w:b/>
          <w:bCs/>
          <w:color w:val="0F2F4C"/>
          <w:sz w:val="26"/>
          <w:szCs w:val="26"/>
        </w:rPr>
        <w:t xml:space="preserve">SITE_URL defaults to staging domain  </w:t>
      </w:r>
      <w:r>
        <w:rPr>
          <w:b/>
          <w:bCs/>
          <w:color w:val="C53030"/>
          <w:sz w:val="22"/>
          <w:szCs w:val="22"/>
        </w:rPr>
        <w:t xml:space="preserve">[P0]</w:t>
      </w:r>
    </w:p>
    <w:p>
      <w:pPr>
        <w:spacing w:after="80" w:before="80"/>
        <w:jc w:val="left"/>
      </w:pPr>
      <w:r>
        <w:rPr>
          <w:sz w:val="22"/>
          <w:szCs w:val="22"/>
        </w:rPr>
        <w:t xml:space="preserve">The constant in src/lib/seo.ts that feeds every canonical link, every structured-data URL, and every OG image absolute URL defaults to https://bestbottles.company when the NEXT_PUBLIC_SITE_URL environment variable is missing. If that env var is not set correctly in Vercel production on launch day, every page tells Google the wrong source-of-truth URL. Total ranking collapse within 14 days. Fix is a 15-minute code change plus an env var set in the Vercel dashboard, with a build-time guard added so the build fails loudly if production env is misconfigured.</w:t>
      </w:r>
    </w:p>
    <w:p>
      <w:pPr>
        <w:spacing w:after="80" w:before="200"/>
      </w:pPr>
      <w:r>
        <w:rPr>
          <w:b/>
          <w:bCs/>
          <w:color w:val="0F2F4C"/>
          <w:sz w:val="26"/>
          <w:szCs w:val="26"/>
        </w:rPr>
        <w:t xml:space="preserve">P0-3.  </w:t>
      </w:r>
      <w:r>
        <w:rPr>
          <w:b/>
          <w:bCs/>
          <w:color w:val="0F2F4C"/>
          <w:sz w:val="26"/>
          <w:szCs w:val="26"/>
        </w:rPr>
        <w:t xml:space="preserve">GSC and Bing verification tokens missing from new metadata  </w:t>
      </w:r>
      <w:r>
        <w:rPr>
          <w:b/>
          <w:bCs/>
          <w:color w:val="C53030"/>
          <w:sz w:val="22"/>
          <w:szCs w:val="22"/>
        </w:rPr>
        <w:t xml:space="preserve">[P0]</w:t>
      </w:r>
    </w:p>
    <w:p>
      <w:pPr>
        <w:spacing w:after="80" w:before="80"/>
        <w:jc w:val="left"/>
      </w:pPr>
      <w:r>
        <w:rPr>
          <w:sz w:val="22"/>
          <w:szCs w:val="22"/>
        </w:rPr>
        <w:t xml:space="preserve">The legacy site has Google Search Console and Bing Webmaster verification tokens in its head. The new site's src/app/layout.tsx has verification: {} (empty). When the new code replaces the legacy code on bestbottles.com, both consoles will mark the property as unverified and de-list the site. We lose performance reports, sitemap submission, and Core Web Vitals monitoring at exactly the moment we need them most. Fix is a 10-minute code change plus DNS TXT records as backup verification.</w:t>
      </w:r>
    </w:p>
    <w:p>
      <w:pPr>
        <w:spacing w:after="80" w:before="200"/>
      </w:pPr>
      <w:r>
        <w:rPr>
          <w:b/>
          <w:bCs/>
          <w:color w:val="0F2F4C"/>
          <w:sz w:val="26"/>
          <w:szCs w:val="26"/>
        </w:rPr>
        <w:t xml:space="preserve">P0-4.  </w:t>
      </w:r>
      <w:r>
        <w:rPr>
          <w:b/>
          <w:bCs/>
          <w:color w:val="0F2F4C"/>
          <w:sz w:val="26"/>
          <w:szCs w:val="26"/>
        </w:rPr>
        <w:t xml:space="preserve">Sitemap missing 2,300+ product URLs  </w:t>
      </w:r>
      <w:r>
        <w:rPr>
          <w:b/>
          <w:bCs/>
          <w:color w:val="C53030"/>
          <w:sz w:val="22"/>
          <w:szCs w:val="22"/>
        </w:rPr>
        <w:t xml:space="preserve">[P0]</w:t>
      </w:r>
    </w:p>
    <w:p>
      <w:pPr>
        <w:spacing w:after="80" w:before="80"/>
        <w:jc w:val="left"/>
      </w:pPr>
      <w:r>
        <w:rPr>
          <w:sz w:val="22"/>
          <w:szCs w:val="22"/>
        </w:rPr>
        <w:t xml:space="preserve">The current built sitemap contains 21 URLs. The Convex database has 2,354 SKUs across 225 product groups, all of which need to be discoverable to Google. Without sitemap entries, the new product detail pages would be discovered slowly via internal linking only — months of indexation delay, much of it lost. Direct competitor SKS Bottle has every SKU sitemapped. Fix is a 4 to 6 hour engineering task to build src/app/sitemap.ts that queries Convex.</w:t>
      </w:r>
    </w:p>
    <w:p>
      <w:pPr>
        <w:spacing w:after="80" w:before="200"/>
      </w:pPr>
      <w:r>
        <w:rPr>
          <w:b/>
          <w:bCs/>
          <w:color w:val="0F2F4C"/>
          <w:sz w:val="26"/>
          <w:szCs w:val="26"/>
        </w:rPr>
        <w:t xml:space="preserve">P0-5.  </w:t>
      </w:r>
      <w:r>
        <w:rPr>
          <w:b/>
          <w:bCs/>
          <w:color w:val="0F2F4C"/>
          <w:sz w:val="26"/>
          <w:szCs w:val="26"/>
        </w:rPr>
        <w:t xml:space="preserve">Every page emits the same canonical URL — STEALTH CATASTROPHE  </w:t>
      </w:r>
      <w:r>
        <w:rPr>
          <w:b/>
          <w:bCs/>
          <w:color w:val="C53030"/>
          <w:sz w:val="22"/>
          <w:szCs w:val="22"/>
        </w:rPr>
        <w:t xml:space="preserve">[P0]</w:t>
      </w:r>
    </w:p>
    <w:p>
      <w:pPr>
        <w:spacing w:after="80" w:before="80"/>
        <w:jc w:val="left"/>
      </w:pPr>
      <w:r>
        <w:rPr>
          <w:sz w:val="22"/>
          <w:szCs w:val="22"/>
        </w:rPr>
        <w:t xml:space="preserve">Only the root layout sets a canonical link. None of /products/[slug], /blog/[slug], /collections/[slug], or any other route overrides it. Every product detail page, every blog post, every category page would tell Google 'I am actually the homepage.' Within 30 to 60 days post-launch, Google would collapse the entire site to one indexed page. This is the single most dangerous bug on the list and was not in the original P0 set — it was surfaced by the Stage 1 deep audit. Fix requires adding generateMetadata to every dynamic route to set the per-page canonical.</w:t>
      </w:r>
    </w:p>
    <w:p>
      <w:pPr>
        <w:spacing w:after="80" w:before="200"/>
      </w:pPr>
      <w:r>
        <w:rPr>
          <w:b/>
          <w:bCs/>
          <w:color w:val="0F2F4C"/>
          <w:sz w:val="26"/>
          <w:szCs w:val="26"/>
        </w:rPr>
        <w:t xml:space="preserve">P0-6.  </w:t>
      </w:r>
      <w:r>
        <w:rPr>
          <w:b/>
          <w:bCs/>
          <w:color w:val="0F2F4C"/>
          <w:sz w:val="26"/>
          <w:szCs w:val="26"/>
        </w:rPr>
        <w:t xml:space="preserve">/services/contract-packaging page missing from new site  </w:t>
      </w:r>
      <w:r>
        <w:rPr>
          <w:b/>
          <w:bCs/>
          <w:color w:val="C53030"/>
          <w:sz w:val="22"/>
          <w:szCs w:val="22"/>
        </w:rPr>
        <w:t xml:space="preserve">[P0]</w:t>
      </w:r>
    </w:p>
    <w:p>
      <w:pPr>
        <w:spacing w:after="80" w:before="80"/>
        <w:jc w:val="left"/>
      </w:pPr>
      <w:r>
        <w:rPr>
          <w:sz w:val="22"/>
          <w:szCs w:val="22"/>
        </w:rPr>
        <w:t xml:space="preserve">The legacy /filling-capping-labeling-perfume-bottles-atomizers.php is the highest-intent B2B asset on bestbottles.com today. Real published MOQ table, screen-printing and laser-engraving capability statements, cross-references competitors gate behind sales calls. Best Bottles almost certainly ranks for 'private label perfume filler', 'small batch contract packaging MOQ', and 'custom perfume filling service' via that page. If it 301s to homepage or generic /services at cutover, the entire keyword cluster goes to zero. Must build /services/contract-packaging before June 15, migrate content verbatim, add FAQPage and Service schema.</w:t>
      </w:r>
    </w:p>
    <w:p>
      <w:pPr>
        <w:pBdr>
          <w:bottom w:val="single" w:color="B08D3A" w:sz="6" w:space="1"/>
        </w:pBdr>
        <w:spacing w:after="120" w:before="120"/>
      </w:pPr>
    </w:p>
    <w:p>
      <w:pPr>
        <w:pStyle w:val="Heading1"/>
        <w:spacing w:after="120" w:before="360"/>
      </w:pPr>
      <w:r>
        <w:rPr>
          <w:b/>
          <w:bCs/>
          <w:color w:val="0F2F4C"/>
          <w:sz w:val="36"/>
          <w:szCs w:val="36"/>
        </w:rPr>
        <w:t xml:space="preserve">Top strategic insights</w:t>
      </w:r>
    </w:p>
    <w:p>
      <w:pPr>
        <w:pStyle w:val="Heading2"/>
        <w:spacing w:after="100" w:before="280"/>
      </w:pPr>
      <w:r>
        <w:rPr>
          <w:b/>
          <w:bCs/>
          <w:color w:val="0F2F4C"/>
          <w:sz w:val="28"/>
          <w:szCs w:val="28"/>
        </w:rPr>
        <w:t xml:space="preserve">Insight 1 — Container &amp; Packaging Supply is the AEO model to copy, not SKS</w:t>
      </w:r>
    </w:p>
    <w:p>
      <w:pPr>
        <w:spacing w:after="80" w:before="80"/>
        <w:jc w:val="left"/>
      </w:pPr>
      <w:r>
        <w:rPr>
          <w:sz w:val="22"/>
          <w:szCs w:val="22"/>
        </w:rPr>
        <w:t xml:space="preserve">The Stage 3 competitive scan tested 8 B2B packaging queries across Google search. Container &amp; Packaging Supply consistently outperformed every other competitor on AI-search-friendly content — question-shaped article titles, named human authors with read times, three dedicated customer-success URLs that earn organic backlinks from the customers themselves. They are winning AEO citation surface in Perplexity, ChatGPT, and Claude precisely because their content is built for machine extraction.</w:t>
      </w:r>
    </w:p>
    <w:p>
      <w:pPr>
        <w:spacing w:after="80" w:before="80"/>
        <w:jc w:val="left"/>
      </w:pPr>
      <w:r>
        <w:rPr>
          <w:sz w:val="22"/>
          <w:szCs w:val="22"/>
        </w:rPr>
        <w:t xml:space="preserve">The fix for Best Bottles is small and high-ROI: re-title the existing 24-post content calendar to use question-shaped formats, add named-author bylines and dated update stamps, ship 4 to 6 indie-brand customer stories in the first wave. Estimated cost: two weeks of writing plus Madison hero shoots. Estimated impact: AEO citation parity with the eight named competitors within 90 days.</w:t>
      </w:r>
    </w:p>
    <w:p>
      <w:pPr>
        <w:pStyle w:val="Heading2"/>
        <w:spacing w:after="100" w:before="280"/>
      </w:pPr>
      <w:r>
        <w:rPr>
          <w:b/>
          <w:bCs/>
          <w:color w:val="0F2F4C"/>
          <w:sz w:val="28"/>
          <w:szCs w:val="28"/>
        </w:rPr>
        <w:t xml:space="preserve">Insight 2 — Procurement persona is the biggest content gap</w:t>
      </w:r>
    </w:p>
    <w:p>
      <w:pPr>
        <w:spacing w:after="80" w:before="80"/>
        <w:jc w:val="left"/>
      </w:pPr>
      <w:r>
        <w:rPr>
          <w:sz w:val="22"/>
          <w:szCs w:val="22"/>
        </w:rPr>
        <w:t xml:space="preserve">Stage 4 identified five B2B personas. The existing 24-post content calendar has zero pieces written explicitly for Persona 2: Established Brand Procurement Manager at $5M to $100M cosmetics brands with Net 30 PO buyers. Thirty high-value keywords in the corpus are currently unowned. This is the highest dollar-value-per-visitor segment Best Bottles can serve and it is invisible in the current strategy. Stage 4 sequences seven specific pieces over the post-launch 14-week roadmap to close this gap.</w:t>
      </w:r>
    </w:p>
    <w:p>
      <w:pPr>
        <w:pStyle w:val="Heading2"/>
        <w:spacing w:after="100" w:before="280"/>
      </w:pPr>
      <w:r>
        <w:rPr>
          <w:b/>
          <w:bCs/>
          <w:color w:val="0F2F4C"/>
          <w:sz w:val="28"/>
          <w:szCs w:val="28"/>
        </w:rPr>
        <w:t xml:space="preserve">Insight 3 — Pinterest is the under-priced channel for B2B packaging</w:t>
      </w:r>
    </w:p>
    <w:p>
      <w:pPr>
        <w:spacing w:after="80" w:before="80"/>
        <w:jc w:val="left"/>
      </w:pPr>
      <w:r>
        <w:rPr>
          <w:sz w:val="22"/>
          <w:szCs w:val="22"/>
        </w:rPr>
        <w:t xml:space="preserve">The Stage 6 social strategy identified Pinterest as the highest-ROI channel for Best Bottles' audience. Indie founders, brand designers, and formulators build product mood boards 6 to 12 months before sourcing — the save IS the conversion event. Zero direct competitors are producing serious Pinterest volume. The strategy allocates 30% of social production budget there (eight pins per week, highest cadence of any channel), with the Higgsfield ASMR clips and color-study flatlays designed first for Pinterest reuse and cascaded to TikTok and Instagram secondarily.</w:t>
      </w:r>
    </w:p>
    <w:p>
      <w:pPr>
        <w:spacing w:after="80" w:before="80"/>
        <w:jc w:val="left"/>
      </w:pPr>
      <w:r>
        <w:rPr>
          <w:sz w:val="22"/>
          <w:szCs w:val="22"/>
        </w:rPr>
        <w:t xml:space="preserve">Conversely, LinkedIn — the channel everyone in B2B defaults to — should be the channel where Best Bottles uses the LEAST AI-generated content. The procurement and contract-filler audience identifies AI imagery in two seconds and the credibility cost is severe. The single highest-leverage activity in the entire social plan is Abbas Nematullah on LinkedIn personally, three posts per week, founder voice, real video — not Higgsfield-generated content.</w:t>
      </w:r>
    </w:p>
    <w:p>
      <w:pPr>
        <w:pBdr>
          <w:bottom w:val="single" w:color="B08D3A" w:sz="6" w:space="1"/>
        </w:pBdr>
        <w:spacing w:after="120" w:before="120"/>
      </w:pPr>
    </w:p>
    <w:p>
      <w:pPr>
        <w:pStyle w:val="Heading1"/>
        <w:spacing w:after="120" w:before="360"/>
      </w:pPr>
      <w:r>
        <w:rPr>
          <w:b/>
          <w:bCs/>
          <w:color w:val="0F2F4C"/>
          <w:sz w:val="36"/>
          <w:szCs w:val="36"/>
        </w:rPr>
        <w:t xml:space="preserve">Next 14 days — what to ship</w:t>
      </w:r>
    </w:p>
    <w:p>
      <w:pPr>
        <w:pStyle w:val="Heading2"/>
        <w:spacing w:after="100" w:before="280"/>
      </w:pPr>
      <w:r>
        <w:rPr>
          <w:b/>
          <w:bCs/>
          <w:color w:val="0F2F4C"/>
          <w:sz w:val="28"/>
          <w:szCs w:val="28"/>
        </w:rPr>
        <w:t xml:space="preserve">Week 1 (May 23 to 30)</w:t>
      </w:r>
    </w:p>
    <w:p>
      <w:pPr>
        <w:pStyle w:val="ListParagraph"/>
        <w:numPr>
          <w:ilvl w:val="0"/>
          <w:numId w:val="2"/>
        </w:numPr>
        <w:spacing w:after="40" w:before="40"/>
      </w:pPr>
      <w:r>
        <w:rPr>
          <w:sz w:val="22"/>
          <w:szCs w:val="22"/>
        </w:rPr>
        <w:t xml:space="preserve">Fix all five remaining P0 tickets (SITE_URL default, verification tokens, sitemap, per-page canonicals, contract-packaging page)</w:t>
      </w:r>
    </w:p>
    <w:p>
      <w:pPr>
        <w:pStyle w:val="ListParagraph"/>
        <w:numPr>
          <w:ilvl w:val="0"/>
          <w:numId w:val="2"/>
        </w:numPr>
        <w:spacing w:after="40" w:before="40"/>
      </w:pPr>
      <w:r>
        <w:rPr>
          <w:sz w:val="22"/>
          <w:szCs w:val="22"/>
        </w:rPr>
        <w:t xml:space="preserve">Add llms.txt to /public/ (production-ready file already in audit folder)</w:t>
      </w:r>
    </w:p>
    <w:p>
      <w:pPr>
        <w:pStyle w:val="ListParagraph"/>
        <w:numPr>
          <w:ilvl w:val="0"/>
          <w:numId w:val="2"/>
        </w:numPr>
        <w:spacing w:after="40" w:before="40"/>
      </w:pPr>
      <w:r>
        <w:rPr>
          <w:sz w:val="22"/>
          <w:szCs w:val="22"/>
        </w:rPr>
        <w:t xml:space="preserve">Set DNS TTL to 300 seconds (enables fast rollback if needed)</w:t>
      </w:r>
    </w:p>
    <w:p>
      <w:pPr>
        <w:pStyle w:val="Heading2"/>
        <w:spacing w:after="100" w:before="280"/>
      </w:pPr>
      <w:r>
        <w:rPr>
          <w:b/>
          <w:bCs/>
          <w:color w:val="0F2F4C"/>
          <w:sz w:val="28"/>
          <w:szCs w:val="28"/>
        </w:rPr>
        <w:t xml:space="preserve">Week 2 (May 31 to June 6)</w:t>
      </w:r>
    </w:p>
    <w:p>
      <w:pPr>
        <w:pStyle w:val="ListParagraph"/>
        <w:numPr>
          <w:ilvl w:val="0"/>
          <w:numId w:val="2"/>
        </w:numPr>
        <w:spacing w:after="40" w:before="40"/>
      </w:pPr>
      <w:r>
        <w:rPr>
          <w:sz w:val="22"/>
          <w:szCs w:val="22"/>
        </w:rPr>
        <w:t xml:space="preserve">Generate and deploy the 153-entry 301 redirect map into next.config.ts</w:t>
      </w:r>
    </w:p>
    <w:p>
      <w:pPr>
        <w:pStyle w:val="ListParagraph"/>
        <w:numPr>
          <w:ilvl w:val="0"/>
          <w:numId w:val="2"/>
        </w:numPr>
        <w:spacing w:after="40" w:before="40"/>
      </w:pPr>
      <w:r>
        <w:rPr>
          <w:sz w:val="22"/>
          <w:szCs w:val="22"/>
        </w:rPr>
        <w:t xml:space="preserve">Add LocalBusiness, FAQPage, and Service schemas</w:t>
      </w:r>
    </w:p>
    <w:p>
      <w:pPr>
        <w:pStyle w:val="ListParagraph"/>
        <w:numPr>
          <w:ilvl w:val="0"/>
          <w:numId w:val="2"/>
        </w:numPr>
        <w:spacing w:after="40" w:before="40"/>
      </w:pPr>
      <w:r>
        <w:rPr>
          <w:sz w:val="22"/>
          <w:szCs w:val="22"/>
        </w:rPr>
        <w:t xml:space="preserve">Complete Organization JSON-LD with full address, phone, sameAs links</w:t>
      </w:r>
    </w:p>
    <w:p>
      <w:pPr>
        <w:pStyle w:val="ListParagraph"/>
        <w:numPr>
          <w:ilvl w:val="0"/>
          <w:numId w:val="2"/>
        </w:numPr>
        <w:spacing w:after="40" w:before="40"/>
      </w:pPr>
      <w:r>
        <w:rPr>
          <w:sz w:val="22"/>
          <w:szCs w:val="22"/>
        </w:rPr>
        <w:t xml:space="preserve">Fix the 5 highest-priority P1 tickets from the Stage 1 audit</w:t>
      </w:r>
    </w:p>
    <w:p>
      <w:pPr>
        <w:pStyle w:val="Heading2"/>
        <w:spacing w:after="100" w:before="280"/>
      </w:pPr>
      <w:r>
        <w:rPr>
          <w:b/>
          <w:bCs/>
          <w:color w:val="0F2F4C"/>
          <w:sz w:val="28"/>
          <w:szCs w:val="28"/>
        </w:rPr>
        <w:t xml:space="preserve">Week 3 (June 7 to 13)</w:t>
      </w:r>
    </w:p>
    <w:p>
      <w:pPr>
        <w:pStyle w:val="ListParagraph"/>
        <w:numPr>
          <w:ilvl w:val="0"/>
          <w:numId w:val="2"/>
        </w:numPr>
        <w:spacing w:after="40" w:before="40"/>
      </w:pPr>
      <w:r>
        <w:rPr>
          <w:sz w:val="22"/>
          <w:szCs w:val="22"/>
        </w:rPr>
        <w:t xml:space="preserve">Final QA pass on the launch go/no-go scorecard (30 items)</w:t>
      </w:r>
    </w:p>
    <w:p>
      <w:pPr>
        <w:pStyle w:val="ListParagraph"/>
        <w:numPr>
          <w:ilvl w:val="0"/>
          <w:numId w:val="2"/>
        </w:numPr>
        <w:spacing w:after="40" w:before="40"/>
      </w:pPr>
      <w:r>
        <w:rPr>
          <w:sz w:val="22"/>
          <w:szCs w:val="22"/>
        </w:rPr>
        <w:t xml:space="preserve">Lighthouse on top 20 URLs targeting ≥80 mobile</w:t>
      </w:r>
    </w:p>
    <w:p>
      <w:pPr>
        <w:pStyle w:val="ListParagraph"/>
        <w:numPr>
          <w:ilvl w:val="0"/>
          <w:numId w:val="2"/>
        </w:numPr>
        <w:spacing w:after="40" w:before="40"/>
      </w:pPr>
      <w:r>
        <w:rPr>
          <w:sz w:val="22"/>
          <w:szCs w:val="22"/>
        </w:rPr>
        <w:t xml:space="preserve">Schema validation on 10 sample PDPs, 5 collection pages, 3 blog posts</w:t>
      </w:r>
    </w:p>
    <w:p>
      <w:pPr>
        <w:pStyle w:val="ListParagraph"/>
        <w:numPr>
          <w:ilvl w:val="0"/>
          <w:numId w:val="2"/>
        </w:numPr>
        <w:spacing w:after="40" w:before="40"/>
      </w:pPr>
      <w:r>
        <w:rPr>
          <w:sz w:val="22"/>
          <w:szCs w:val="22"/>
        </w:rPr>
        <w:t xml:space="preserve">Manual smoke test of contact form, request-sample flow, Grace AI workspace</w:t>
      </w:r>
    </w:p>
    <w:p>
      <w:pPr>
        <w:pStyle w:val="ListParagraph"/>
        <w:numPr>
          <w:ilvl w:val="0"/>
          <w:numId w:val="2"/>
        </w:numPr>
        <w:spacing w:after="40" w:before="40"/>
      </w:pPr>
      <w:r>
        <w:rPr>
          <w:sz w:val="22"/>
          <w:szCs w:val="22"/>
        </w:rPr>
        <w:t xml:space="preserve">Stakeholder sign-off</w:t>
      </w:r>
    </w:p>
    <w:p>
      <w:pPr>
        <w:pStyle w:val="Heading2"/>
        <w:spacing w:after="100" w:before="280"/>
      </w:pPr>
      <w:r>
        <w:rPr>
          <w:b/>
          <w:bCs/>
          <w:color w:val="0F2F4C"/>
          <w:sz w:val="28"/>
          <w:szCs w:val="28"/>
        </w:rPr>
        <w:t xml:space="preserve">Weekend (June 14)</w:t>
      </w:r>
    </w:p>
    <w:p>
      <w:pPr>
        <w:pStyle w:val="ListParagraph"/>
        <w:numPr>
          <w:ilvl w:val="0"/>
          <w:numId w:val="2"/>
        </w:numPr>
        <w:spacing w:after="40" w:before="40"/>
      </w:pPr>
      <w:r>
        <w:rPr>
          <w:sz w:val="22"/>
          <w:szCs w:val="22"/>
        </w:rPr>
        <w:t xml:space="preserve">Code freeze. Final go/no-go meeting Friday evening.</w:t>
      </w:r>
    </w:p>
    <w:p>
      <w:pPr>
        <w:pStyle w:val="ListParagraph"/>
        <w:numPr>
          <w:ilvl w:val="0"/>
          <w:numId w:val="2"/>
        </w:numPr>
        <w:spacing w:after="40" w:before="40"/>
      </w:pPr>
      <w:r>
        <w:rPr>
          <w:sz w:val="22"/>
          <w:szCs w:val="22"/>
        </w:rPr>
        <w:t xml:space="preserve">GO threshold: ≥27 of 30 scorecard items passing, zero P0 unresolved.</w:t>
      </w:r>
    </w:p>
    <w:p>
      <w:pPr>
        <w:pStyle w:val="Heading2"/>
        <w:spacing w:after="100" w:before="280"/>
      </w:pPr>
      <w:r>
        <w:rPr>
          <w:b/>
          <w:bCs/>
          <w:color w:val="0F2F4C"/>
          <w:sz w:val="28"/>
          <w:szCs w:val="28"/>
        </w:rPr>
        <w:t xml:space="preserve">Cutover day (June 15)</w:t>
      </w:r>
    </w:p>
    <w:p>
      <w:pPr>
        <w:pStyle w:val="ListParagraph"/>
        <w:numPr>
          <w:ilvl w:val="0"/>
          <w:numId w:val="2"/>
        </w:numPr>
        <w:spacing w:after="40" w:before="40"/>
      </w:pPr>
      <w:r>
        <w:rPr>
          <w:sz w:val="22"/>
          <w:szCs w:val="22"/>
        </w:rPr>
        <w:t xml:space="preserve">Hour-by-hour playbook in 05-migration-launch/migration-runbook.md</w:t>
      </w:r>
    </w:p>
    <w:p>
      <w:pPr>
        <w:pStyle w:val="ListParagraph"/>
        <w:numPr>
          <w:ilvl w:val="0"/>
          <w:numId w:val="2"/>
        </w:numPr>
        <w:spacing w:after="40" w:before="40"/>
      </w:pPr>
      <w:r>
        <w:rPr>
          <w:sz w:val="22"/>
          <w:szCs w:val="22"/>
        </w:rPr>
        <w:t xml:space="preserve">Estimated cutover window: 2 hours</w:t>
      </w:r>
    </w:p>
    <w:p>
      <w:pPr>
        <w:pStyle w:val="ListParagraph"/>
        <w:numPr>
          <w:ilvl w:val="0"/>
          <w:numId w:val="2"/>
        </w:numPr>
        <w:spacing w:after="40" w:before="40"/>
      </w:pPr>
      <w:r>
        <w:rPr>
          <w:sz w:val="22"/>
          <w:szCs w:val="22"/>
        </w:rPr>
        <w:t xml:space="preserve">Estimated rollback time if needed: 30 seconds (Vercel deployment promotion)</w:t>
      </w:r>
    </w:p>
    <w:p>
      <w:pPr>
        <w:pBdr>
          <w:bottom w:val="single" w:color="B08D3A" w:sz="6" w:space="1"/>
        </w:pBdr>
        <w:spacing w:after="120" w:before="120"/>
      </w:pPr>
    </w:p>
    <w:p>
      <w:pPr>
        <w:pStyle w:val="Heading1"/>
        <w:spacing w:after="120" w:before="360"/>
      </w:pPr>
      <w:r>
        <w:rPr>
          <w:b/>
          <w:bCs/>
          <w:color w:val="0F2F4C"/>
          <w:sz w:val="36"/>
          <w:szCs w:val="36"/>
        </w:rPr>
        <w:t xml:space="preserve">Complete deliverables index</w:t>
      </w:r>
    </w:p>
    <w:p>
      <w:pPr>
        <w:spacing w:after="80" w:before="80"/>
        <w:jc w:val="left"/>
      </w:pPr>
      <w:r>
        <w:rPr>
          <w:sz w:val="22"/>
          <w:szCs w:val="22"/>
        </w:rPr>
        <w:t xml:space="preserve">Sixteen files totaling approximately 64,000 words, plus a production-ready llms.txt and a 153-row redirect map CSV. All saved to /Best-Bottles-Website-02-20-2026/seo-audit-2026-05-23/.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560"/>
        <w:gridCol w:w="1400"/>
        <w:gridCol w:w="1800"/>
      </w:tblGrid>
      <w:tr>
        <w:trPr>
          <w:tblHeader/>
        </w:trPr>
        <w:tc>
          <w:tcPr>
            <w:tcW w:type="dxa" w:w="1600"/>
            <w:tcBorders>
              <w:top w:val="single" w:color="CCCCCC" w:sz="4"/>
              <w:left w:val="single" w:color="CCCCCC" w:sz="4"/>
              <w:bottom w:val="single" w:color="CCCCCC" w:sz="4"/>
              <w:right w:val="single" w:color="CCCCCC" w:sz="4"/>
            </w:tcBorders>
            <w:shd w:fill="0F2F4C" w:val="clear"/>
            <w:tcMar>
              <w:top w:type="dxa" w:w="100"/>
              <w:left w:type="dxa" w:w="140"/>
              <w:bottom w:type="dxa" w:w="100"/>
              <w:right w:type="dxa" w:w="140"/>
            </w:tcMar>
          </w:tcPr>
          <w:p>
            <w:r>
              <w:rPr>
                <w:b/>
                <w:bCs/>
                <w:color w:val="FFFFFF"/>
                <w:sz w:val="20"/>
                <w:szCs w:val="20"/>
              </w:rPr>
              <w:t xml:space="preserve">Stage</w:t>
            </w:r>
          </w:p>
        </w:tc>
        <w:tc>
          <w:tcPr>
            <w:tcW w:type="dxa" w:w="4560"/>
            <w:tcBorders>
              <w:top w:val="single" w:color="CCCCCC" w:sz="4"/>
              <w:left w:val="single" w:color="CCCCCC" w:sz="4"/>
              <w:bottom w:val="single" w:color="CCCCCC" w:sz="4"/>
              <w:right w:val="single" w:color="CCCCCC" w:sz="4"/>
            </w:tcBorders>
            <w:shd w:fill="0F2F4C" w:val="clear"/>
            <w:tcMar>
              <w:top w:type="dxa" w:w="100"/>
              <w:left w:type="dxa" w:w="140"/>
              <w:bottom w:type="dxa" w:w="100"/>
              <w:right w:type="dxa" w:w="140"/>
            </w:tcMar>
          </w:tcPr>
          <w:p>
            <w:r>
              <w:rPr>
                <w:b/>
                <w:bCs/>
                <w:color w:val="FFFFFF"/>
                <w:sz w:val="20"/>
                <w:szCs w:val="20"/>
              </w:rPr>
              <w:t xml:space="preserve">File</w:t>
            </w:r>
          </w:p>
        </w:tc>
        <w:tc>
          <w:tcPr>
            <w:tcW w:type="dxa" w:w="1400"/>
            <w:tcBorders>
              <w:top w:val="single" w:color="CCCCCC" w:sz="4"/>
              <w:left w:val="single" w:color="CCCCCC" w:sz="4"/>
              <w:bottom w:val="single" w:color="CCCCCC" w:sz="4"/>
              <w:right w:val="single" w:color="CCCCCC" w:sz="4"/>
            </w:tcBorders>
            <w:shd w:fill="0F2F4C" w:val="clear"/>
            <w:tcMar>
              <w:top w:type="dxa" w:w="100"/>
              <w:left w:type="dxa" w:w="140"/>
              <w:bottom w:type="dxa" w:w="100"/>
              <w:right w:type="dxa" w:w="140"/>
            </w:tcMar>
          </w:tcPr>
          <w:p>
            <w:r>
              <w:rPr>
                <w:b/>
                <w:bCs/>
                <w:color w:val="FFFFFF"/>
                <w:sz w:val="20"/>
                <w:szCs w:val="20"/>
              </w:rPr>
              <w:t xml:space="preserve">Size</w:t>
            </w:r>
          </w:p>
        </w:tc>
        <w:tc>
          <w:tcPr>
            <w:tcW w:type="dxa" w:w="1800"/>
            <w:tcBorders>
              <w:top w:val="single" w:color="CCCCCC" w:sz="4"/>
              <w:left w:val="single" w:color="CCCCCC" w:sz="4"/>
              <w:bottom w:val="single" w:color="CCCCCC" w:sz="4"/>
              <w:right w:val="single" w:color="CCCCCC" w:sz="4"/>
            </w:tcBorders>
            <w:shd w:fill="0F2F4C" w:val="clear"/>
            <w:tcMar>
              <w:top w:type="dxa" w:w="100"/>
              <w:left w:type="dxa" w:w="140"/>
              <w:bottom w:type="dxa" w:w="100"/>
              <w:right w:type="dxa" w:w="140"/>
            </w:tcMar>
          </w:tcPr>
          <w:p>
            <w:r>
              <w:rPr>
                <w:b/>
                <w:bCs/>
                <w:color w:val="FFFFFF"/>
                <w:sz w:val="20"/>
                <w:szCs w:val="20"/>
              </w:rPr>
              <w:t xml:space="preserve">Priority</w:t>
            </w:r>
          </w:p>
        </w:tc>
      </w:tr>
      <w:tr>
        <w:tc>
          <w:tcPr>
            <w:tcW w:type="dxa" w:w="1600"/>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sz w:val="20"/>
                <w:szCs w:val="20"/>
              </w:rPr>
              <w:t xml:space="preserve">0 Discovery</w:t>
            </w:r>
          </w:p>
        </w:tc>
        <w:tc>
          <w:tcPr>
            <w:tcW w:type="dxa" w:w="4560"/>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sz w:val="20"/>
                <w:szCs w:val="20"/>
              </w:rPr>
              <w:t xml:space="preserve">00-discovery/00-discovery-brief.md</w:t>
            </w:r>
          </w:p>
        </w:tc>
        <w:tc>
          <w:tcPr>
            <w:tcW w:type="dxa" w:w="1400"/>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sz w:val="20"/>
                <w:szCs w:val="20"/>
              </w:rPr>
              <w:t xml:space="preserve">2.3k words</w:t>
            </w:r>
          </w:p>
        </w:tc>
        <w:tc>
          <w:tcPr>
            <w:tcW w:type="dxa" w:w="1800"/>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sz w:val="20"/>
                <w:szCs w:val="20"/>
              </w:rPr>
              <w:t xml:space="preserve">Reference</w:t>
            </w:r>
          </w:p>
        </w:tc>
      </w:tr>
      <w:tr>
        <w:tc>
          <w:tcPr>
            <w:tcW w:type="dxa" w:w="1600"/>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sz w:val="20"/>
                <w:szCs w:val="20"/>
              </w:rPr>
              <w:t xml:space="preserve">1 Tech SEO</w:t>
            </w:r>
          </w:p>
        </w:tc>
        <w:tc>
          <w:tcPr>
            <w:tcW w:type="dxa" w:w="4560"/>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sz w:val="20"/>
                <w:szCs w:val="20"/>
              </w:rPr>
              <w:t xml:space="preserve">01-technical-seo/technical-seo-audit.md</w:t>
            </w:r>
          </w:p>
        </w:tc>
        <w:tc>
          <w:tcPr>
            <w:tcW w:type="dxa" w:w="1400"/>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sz w:val="20"/>
                <w:szCs w:val="20"/>
              </w:rPr>
              <w:t xml:space="preserve">5.7k words</w:t>
            </w:r>
          </w:p>
        </w:tc>
        <w:tc>
          <w:tcPr>
            <w:tcW w:type="dxa" w:w="1800"/>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sz w:val="20"/>
                <w:szCs w:val="20"/>
              </w:rPr>
              <w:t xml:space="preserve">Engineering</w:t>
            </w:r>
          </w:p>
        </w:tc>
      </w:tr>
      <w:tr>
        <w:tc>
          <w:tcPr>
            <w:tcW w:type="dxa" w:w="1600"/>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sz w:val="20"/>
                <w:szCs w:val="20"/>
              </w:rPr>
              <w:t xml:space="preserve">1 Tech SEO</w:t>
            </w:r>
          </w:p>
        </w:tc>
        <w:tc>
          <w:tcPr>
            <w:tcW w:type="dxa" w:w="4560"/>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sz w:val="20"/>
                <w:szCs w:val="20"/>
              </w:rPr>
              <w:t xml:space="preserve">01-technical-seo/p0-dev-tickets-urgent.md</w:t>
            </w:r>
          </w:p>
        </w:tc>
        <w:tc>
          <w:tcPr>
            <w:tcW w:type="dxa" w:w="1400"/>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sz w:val="20"/>
                <w:szCs w:val="20"/>
              </w:rPr>
              <w:t xml:space="preserve">1.2k words</w:t>
            </w:r>
          </w:p>
        </w:tc>
        <w:tc>
          <w:tcPr>
            <w:tcW w:type="dxa" w:w="1800"/>
            <w:tcBorders>
              <w:top w:val="single" w:color="CCCCCC" w:sz="4"/>
              <w:left w:val="single" w:color="CCCCCC" w:sz="4"/>
              <w:bottom w:val="single" w:color="CCCCCC" w:sz="4"/>
              <w:right w:val="single" w:color="CCCCCC" w:sz="4"/>
            </w:tcBorders>
            <w:shd w:fill="FED7D7" w:val="clear"/>
            <w:tcMar>
              <w:top w:type="dxa" w:w="90"/>
              <w:left w:type="dxa" w:w="140"/>
              <w:bottom w:type="dxa" w:w="90"/>
              <w:right w:type="dxa" w:w="140"/>
            </w:tcMar>
          </w:tcPr>
          <w:p>
            <w:r>
              <w:rPr>
                <w:b/>
                <w:bCs/>
                <w:sz w:val="20"/>
                <w:szCs w:val="20"/>
              </w:rPr>
              <w:t xml:space="preserve">URGENT</w:t>
            </w:r>
          </w:p>
        </w:tc>
      </w:tr>
      <w:tr>
        <w:tc>
          <w:tcPr>
            <w:tcW w:type="dxa" w:w="1600"/>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sz w:val="20"/>
                <w:szCs w:val="20"/>
              </w:rPr>
              <w:t xml:space="preserve">2 GEO/AEO</w:t>
            </w:r>
          </w:p>
        </w:tc>
        <w:tc>
          <w:tcPr>
            <w:tcW w:type="dxa" w:w="4560"/>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sz w:val="20"/>
                <w:szCs w:val="20"/>
              </w:rPr>
              <w:t xml:space="preserve">02-geo-aeo/geo-aeo-audit.md</w:t>
            </w:r>
          </w:p>
        </w:tc>
        <w:tc>
          <w:tcPr>
            <w:tcW w:type="dxa" w:w="1400"/>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sz w:val="20"/>
                <w:szCs w:val="20"/>
              </w:rPr>
              <w:t xml:space="preserve">6.5k words</w:t>
            </w:r>
          </w:p>
        </w:tc>
        <w:tc>
          <w:tcPr>
            <w:tcW w:type="dxa" w:w="1800"/>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sz w:val="20"/>
                <w:szCs w:val="20"/>
              </w:rPr>
              <w:t xml:space="preserve">Reference</w:t>
            </w:r>
          </w:p>
        </w:tc>
      </w:tr>
      <w:tr>
        <w:tc>
          <w:tcPr>
            <w:tcW w:type="dxa" w:w="1600"/>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sz w:val="20"/>
                <w:szCs w:val="20"/>
              </w:rPr>
              <w:t xml:space="preserve">2 GEO/AEO</w:t>
            </w:r>
          </w:p>
        </w:tc>
        <w:tc>
          <w:tcPr>
            <w:tcW w:type="dxa" w:w="4560"/>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sz w:val="20"/>
                <w:szCs w:val="20"/>
              </w:rPr>
              <w:t xml:space="preserve">02-geo-aeo/llms.txt</w:t>
            </w:r>
          </w:p>
        </w:tc>
        <w:tc>
          <w:tcPr>
            <w:tcW w:type="dxa" w:w="1400"/>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sz w:val="20"/>
                <w:szCs w:val="20"/>
              </w:rPr>
              <w:t xml:space="preserve">Production file</w:t>
            </w:r>
          </w:p>
        </w:tc>
        <w:tc>
          <w:tcPr>
            <w:tcW w:type="dxa" w:w="1800"/>
            <w:tcBorders>
              <w:top w:val="single" w:color="CCCCCC" w:sz="4"/>
              <w:left w:val="single" w:color="CCCCCC" w:sz="4"/>
              <w:bottom w:val="single" w:color="CCCCCC" w:sz="4"/>
              <w:right w:val="single" w:color="CCCCCC" w:sz="4"/>
            </w:tcBorders>
            <w:shd w:fill="C6F6D5" w:val="clear"/>
            <w:tcMar>
              <w:top w:type="dxa" w:w="90"/>
              <w:left w:type="dxa" w:w="140"/>
              <w:bottom w:type="dxa" w:w="90"/>
              <w:right w:type="dxa" w:w="140"/>
            </w:tcMar>
          </w:tcPr>
          <w:p>
            <w:r>
              <w:rPr>
                <w:b/>
                <w:bCs/>
                <w:sz w:val="20"/>
                <w:szCs w:val="20"/>
              </w:rPr>
              <w:t xml:space="preserve">Ship Week 1</w:t>
            </w:r>
          </w:p>
        </w:tc>
      </w:tr>
      <w:tr>
        <w:tc>
          <w:tcPr>
            <w:tcW w:type="dxa" w:w="1600"/>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sz w:val="20"/>
                <w:szCs w:val="20"/>
              </w:rPr>
              <w:t xml:space="preserve">3 Legacy + competitive</w:t>
            </w:r>
          </w:p>
        </w:tc>
        <w:tc>
          <w:tcPr>
            <w:tcW w:type="dxa" w:w="4560"/>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sz w:val="20"/>
                <w:szCs w:val="20"/>
              </w:rPr>
              <w:t xml:space="preserve">03-legacy-baseline/legacy-equity-baseline.md</w:t>
            </w:r>
          </w:p>
        </w:tc>
        <w:tc>
          <w:tcPr>
            <w:tcW w:type="dxa" w:w="1400"/>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sz w:val="20"/>
                <w:szCs w:val="20"/>
              </w:rPr>
              <w:t xml:space="preserve">3.2k words</w:t>
            </w:r>
          </w:p>
        </w:tc>
        <w:tc>
          <w:tcPr>
            <w:tcW w:type="dxa" w:w="1800"/>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sz w:val="20"/>
                <w:szCs w:val="20"/>
              </w:rPr>
              <w:t xml:space="preserve">Reference</w:t>
            </w:r>
          </w:p>
        </w:tc>
      </w:tr>
      <w:tr>
        <w:tc>
          <w:tcPr>
            <w:tcW w:type="dxa" w:w="1600"/>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sz w:val="20"/>
                <w:szCs w:val="20"/>
              </w:rPr>
              <w:t xml:space="preserve">3 Legacy + competitive</w:t>
            </w:r>
          </w:p>
        </w:tc>
        <w:tc>
          <w:tcPr>
            <w:tcW w:type="dxa" w:w="4560"/>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sz w:val="20"/>
                <w:szCs w:val="20"/>
              </w:rPr>
              <w:t xml:space="preserve">03-legacy-baseline/competitive-landscape-map.md</w:t>
            </w:r>
          </w:p>
        </w:tc>
        <w:tc>
          <w:tcPr>
            <w:tcW w:type="dxa" w:w="1400"/>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sz w:val="20"/>
                <w:szCs w:val="20"/>
              </w:rPr>
              <w:t xml:space="preserve">5.8k words</w:t>
            </w:r>
          </w:p>
        </w:tc>
        <w:tc>
          <w:tcPr>
            <w:tcW w:type="dxa" w:w="1800"/>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sz w:val="20"/>
                <w:szCs w:val="20"/>
              </w:rPr>
              <w:t xml:space="preserve">Strategy</w:t>
            </w:r>
          </w:p>
        </w:tc>
      </w:tr>
      <w:tr>
        <w:tc>
          <w:tcPr>
            <w:tcW w:type="dxa" w:w="1600"/>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sz w:val="20"/>
                <w:szCs w:val="20"/>
              </w:rPr>
              <w:t xml:space="preserve">4 Content strategy</w:t>
            </w:r>
          </w:p>
        </w:tc>
        <w:tc>
          <w:tcPr>
            <w:tcW w:type="dxa" w:w="4560"/>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sz w:val="20"/>
                <w:szCs w:val="20"/>
              </w:rPr>
              <w:t xml:space="preserve">04-keyword-content/persona-keyword-corpus.md</w:t>
            </w:r>
          </w:p>
        </w:tc>
        <w:tc>
          <w:tcPr>
            <w:tcW w:type="dxa" w:w="1400"/>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sz w:val="20"/>
                <w:szCs w:val="20"/>
              </w:rPr>
              <w:t xml:space="preserve">5.2k words</w:t>
            </w:r>
          </w:p>
        </w:tc>
        <w:tc>
          <w:tcPr>
            <w:tcW w:type="dxa" w:w="1800"/>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sz w:val="20"/>
                <w:szCs w:val="20"/>
              </w:rPr>
              <w:t xml:space="preserve">Content</w:t>
            </w:r>
          </w:p>
        </w:tc>
      </w:tr>
      <w:tr>
        <w:tc>
          <w:tcPr>
            <w:tcW w:type="dxa" w:w="1600"/>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sz w:val="20"/>
                <w:szCs w:val="20"/>
              </w:rPr>
              <w:t xml:space="preserve">4 Content strategy</w:t>
            </w:r>
          </w:p>
        </w:tc>
        <w:tc>
          <w:tcPr>
            <w:tcW w:type="dxa" w:w="4560"/>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sz w:val="20"/>
                <w:szCs w:val="20"/>
              </w:rPr>
              <w:t xml:space="preserve">04-keyword-content/content-roadmap-90d.md</w:t>
            </w:r>
          </w:p>
        </w:tc>
        <w:tc>
          <w:tcPr>
            <w:tcW w:type="dxa" w:w="1400"/>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sz w:val="20"/>
                <w:szCs w:val="20"/>
              </w:rPr>
              <w:t xml:space="preserve">7.2k words</w:t>
            </w:r>
          </w:p>
        </w:tc>
        <w:tc>
          <w:tcPr>
            <w:tcW w:type="dxa" w:w="1800"/>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sz w:val="20"/>
                <w:szCs w:val="20"/>
              </w:rPr>
              <w:t xml:space="preserve">Content</w:t>
            </w:r>
          </w:p>
        </w:tc>
      </w:tr>
      <w:tr>
        <w:tc>
          <w:tcPr>
            <w:tcW w:type="dxa" w:w="1600"/>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sz w:val="20"/>
                <w:szCs w:val="20"/>
              </w:rPr>
              <w:t xml:space="preserve">4 Content strategy</w:t>
            </w:r>
          </w:p>
        </w:tc>
        <w:tc>
          <w:tcPr>
            <w:tcW w:type="dxa" w:w="4560"/>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sz w:val="20"/>
                <w:szCs w:val="20"/>
              </w:rPr>
              <w:t xml:space="preserve">04-keyword-content/copy-templates.md</w:t>
            </w:r>
          </w:p>
        </w:tc>
        <w:tc>
          <w:tcPr>
            <w:tcW w:type="dxa" w:w="1400"/>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sz w:val="20"/>
                <w:szCs w:val="20"/>
              </w:rPr>
              <w:t xml:space="preserve">5.7k words</w:t>
            </w:r>
          </w:p>
        </w:tc>
        <w:tc>
          <w:tcPr>
            <w:tcW w:type="dxa" w:w="1800"/>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sz w:val="20"/>
                <w:szCs w:val="20"/>
              </w:rPr>
              <w:t xml:space="preserve">Content</w:t>
            </w:r>
          </w:p>
        </w:tc>
      </w:tr>
      <w:tr>
        <w:tc>
          <w:tcPr>
            <w:tcW w:type="dxa" w:w="1600"/>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sz w:val="20"/>
                <w:szCs w:val="20"/>
              </w:rPr>
              <w:t xml:space="preserve">5 Migration</w:t>
            </w:r>
          </w:p>
        </w:tc>
        <w:tc>
          <w:tcPr>
            <w:tcW w:type="dxa" w:w="4560"/>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sz w:val="20"/>
                <w:szCs w:val="20"/>
              </w:rPr>
              <w:t xml:space="preserve">05-migration-launch/migration-runbook.md</w:t>
            </w:r>
          </w:p>
        </w:tc>
        <w:tc>
          <w:tcPr>
            <w:tcW w:type="dxa" w:w="1400"/>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sz w:val="20"/>
                <w:szCs w:val="20"/>
              </w:rPr>
              <w:t xml:space="preserve">5.2k words</w:t>
            </w:r>
          </w:p>
        </w:tc>
        <w:tc>
          <w:tcPr>
            <w:tcW w:type="dxa" w:w="1800"/>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sz w:val="20"/>
                <w:szCs w:val="20"/>
              </w:rPr>
              <w:t xml:space="preserve">Engineering</w:t>
            </w:r>
          </w:p>
        </w:tc>
      </w:tr>
      <w:tr>
        <w:tc>
          <w:tcPr>
            <w:tcW w:type="dxa" w:w="1600"/>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sz w:val="20"/>
                <w:szCs w:val="20"/>
              </w:rPr>
              <w:t xml:space="preserve">5 Migration</w:t>
            </w:r>
          </w:p>
        </w:tc>
        <w:tc>
          <w:tcPr>
            <w:tcW w:type="dxa" w:w="4560"/>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sz w:val="20"/>
                <w:szCs w:val="20"/>
              </w:rPr>
              <w:t xml:space="preserve">05-migration-launch/redirect-map.csv</w:t>
            </w:r>
          </w:p>
        </w:tc>
        <w:tc>
          <w:tcPr>
            <w:tcW w:type="dxa" w:w="1400"/>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sz w:val="20"/>
                <w:szCs w:val="20"/>
              </w:rPr>
              <w:t xml:space="preserve">153 entries</w:t>
            </w:r>
          </w:p>
        </w:tc>
        <w:tc>
          <w:tcPr>
            <w:tcW w:type="dxa" w:w="1800"/>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sz w:val="20"/>
                <w:szCs w:val="20"/>
              </w:rPr>
              <w:t xml:space="preserve">Engineering</w:t>
            </w:r>
          </w:p>
        </w:tc>
      </w:tr>
      <w:tr>
        <w:tc>
          <w:tcPr>
            <w:tcW w:type="dxa" w:w="1600"/>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sz w:val="20"/>
                <w:szCs w:val="20"/>
              </w:rPr>
              <w:t xml:space="preserve">5 Migration</w:t>
            </w:r>
          </w:p>
        </w:tc>
        <w:tc>
          <w:tcPr>
            <w:tcW w:type="dxa" w:w="4560"/>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sz w:val="20"/>
                <w:szCs w:val="20"/>
              </w:rPr>
              <w:t xml:space="preserve">05-migration-launch/launch-go-nogo-scorecard.md</w:t>
            </w:r>
          </w:p>
        </w:tc>
        <w:tc>
          <w:tcPr>
            <w:tcW w:type="dxa" w:w="1400"/>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sz w:val="20"/>
                <w:szCs w:val="20"/>
              </w:rPr>
              <w:t xml:space="preserve">1.4k words</w:t>
            </w:r>
          </w:p>
        </w:tc>
        <w:tc>
          <w:tcPr>
            <w:tcW w:type="dxa" w:w="1800"/>
            <w:tcBorders>
              <w:top w:val="single" w:color="CCCCCC" w:sz="4"/>
              <w:left w:val="single" w:color="CCCCCC" w:sz="4"/>
              <w:bottom w:val="single" w:color="CCCCCC" w:sz="4"/>
              <w:right w:val="single" w:color="CCCCCC" w:sz="4"/>
            </w:tcBorders>
            <w:shd w:fill="FEEBC8" w:val="clear"/>
            <w:tcMar>
              <w:top w:type="dxa" w:w="90"/>
              <w:left w:type="dxa" w:w="140"/>
              <w:bottom w:type="dxa" w:w="90"/>
              <w:right w:type="dxa" w:w="140"/>
            </w:tcMar>
          </w:tcPr>
          <w:p>
            <w:r>
              <w:rPr>
                <w:b/>
                <w:bCs/>
                <w:sz w:val="20"/>
                <w:szCs w:val="20"/>
              </w:rPr>
              <w:t xml:space="preserve">June 14</w:t>
            </w:r>
          </w:p>
        </w:tc>
      </w:tr>
      <w:tr>
        <w:tc>
          <w:tcPr>
            <w:tcW w:type="dxa" w:w="1600"/>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sz w:val="20"/>
                <w:szCs w:val="20"/>
              </w:rPr>
              <w:t xml:space="preserve">6 Social</w:t>
            </w:r>
          </w:p>
        </w:tc>
        <w:tc>
          <w:tcPr>
            <w:tcW w:type="dxa" w:w="4560"/>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sz w:val="20"/>
                <w:szCs w:val="20"/>
              </w:rPr>
              <w:t xml:space="preserve">06-social-higgsfield/social-strategy.md</w:t>
            </w:r>
          </w:p>
        </w:tc>
        <w:tc>
          <w:tcPr>
            <w:tcW w:type="dxa" w:w="1400"/>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sz w:val="20"/>
                <w:szCs w:val="20"/>
              </w:rPr>
              <w:t xml:space="preserve">7.1k words</w:t>
            </w:r>
          </w:p>
        </w:tc>
        <w:tc>
          <w:tcPr>
            <w:tcW w:type="dxa" w:w="1800"/>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sz w:val="20"/>
                <w:szCs w:val="20"/>
              </w:rPr>
              <w:t xml:space="preserve">Marketing</w:t>
            </w:r>
          </w:p>
        </w:tc>
      </w:tr>
      <w:tr>
        <w:tc>
          <w:tcPr>
            <w:tcW w:type="dxa" w:w="1600"/>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sz w:val="20"/>
                <w:szCs w:val="20"/>
              </w:rPr>
              <w:t xml:space="preserve">6 Social</w:t>
            </w:r>
          </w:p>
        </w:tc>
        <w:tc>
          <w:tcPr>
            <w:tcW w:type="dxa" w:w="4560"/>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sz w:val="20"/>
                <w:szCs w:val="20"/>
              </w:rPr>
              <w:t xml:space="preserve">06-social-higgsfield/higgsfield-starter-batch.md</w:t>
            </w:r>
          </w:p>
        </w:tc>
        <w:tc>
          <w:tcPr>
            <w:tcW w:type="dxa" w:w="1400"/>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sz w:val="20"/>
                <w:szCs w:val="20"/>
              </w:rPr>
              <w:t xml:space="preserve">6.9k words</w:t>
            </w:r>
          </w:p>
        </w:tc>
        <w:tc>
          <w:tcPr>
            <w:tcW w:type="dxa" w:w="1800"/>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sz w:val="20"/>
                <w:szCs w:val="20"/>
              </w:rPr>
              <w:t xml:space="preserve">Marketing</w:t>
            </w:r>
          </w:p>
        </w:tc>
      </w:tr>
    </w:tbl>
    <w:p>
      <w:r>
        <w:rPr>
          <w:sz w:val="12"/>
          <w:szCs w:val="12"/>
        </w:rPr>
        <w:t xml:space="preserve"> </w:t>
      </w:r>
    </w:p>
    <w:p>
      <w:pPr>
        <w:spacing w:after="80" w:before="80"/>
        <w:jc w:val="left"/>
      </w:pPr>
      <w:r>
        <w:rPr>
          <w:sz w:val="22"/>
          <w:szCs w:val="22"/>
        </w:rPr>
        <w:t xml:space="preserve">Read order recommendations are in the README.md at the root of that folder. Different audiences (engineering, content, stakeholder) have different recommended starting points.</w:t>
      </w:r>
    </w:p>
    <w:p>
      <w:pPr>
        <w:pBdr>
          <w:bottom w:val="single" w:color="B08D3A" w:sz="6" w:space="1"/>
        </w:pBdr>
        <w:spacing w:after="120" w:before="120"/>
      </w:pPr>
    </w:p>
    <w:p>
      <w:pPr>
        <w:pStyle w:val="Heading1"/>
        <w:spacing w:after="120" w:before="360"/>
      </w:pPr>
      <w:r>
        <w:rPr>
          <w:b/>
          <w:bCs/>
          <w:color w:val="0F2F4C"/>
          <w:sz w:val="36"/>
          <w:szCs w:val="36"/>
        </w:rPr>
        <w:t xml:space="preserve">Confidence statement</w:t>
      </w:r>
    </w:p>
    <w:p>
      <w:pPr>
        <w:spacing w:after="80" w:before="80"/>
        <w:jc w:val="left"/>
      </w:pPr>
      <w:r>
        <w:rPr>
          <w:sz w:val="22"/>
          <w:szCs w:val="22"/>
        </w:rPr>
        <w:t xml:space="preserve">This audit reflects evidence captured directly from:</w:t>
      </w:r>
    </w:p>
    <w:p>
      <w:pPr>
        <w:pStyle w:val="ListParagraph"/>
        <w:numPr>
          <w:ilvl w:val="0"/>
          <w:numId w:val="2"/>
        </w:numPr>
        <w:spacing w:after="40" w:before="40"/>
      </w:pPr>
      <w:r>
        <w:rPr>
          <w:sz w:val="22"/>
          <w:szCs w:val="22"/>
        </w:rPr>
        <w:t xml:space="preserve">The live legacy bestbottles.com site (homepage + 5 interior pages)</w:t>
      </w:r>
    </w:p>
    <w:p>
      <w:pPr>
        <w:pStyle w:val="ListParagraph"/>
        <w:numPr>
          <w:ilvl w:val="0"/>
          <w:numId w:val="2"/>
        </w:numPr>
        <w:spacing w:after="40" w:before="40"/>
      </w:pPr>
      <w:r>
        <w:rPr>
          <w:sz w:val="22"/>
          <w:szCs w:val="22"/>
        </w:rPr>
        <w:t xml:space="preserve">The live staging bestbottles.company site (head fetch + code-level audit)</w:t>
      </w:r>
    </w:p>
    <w:p>
      <w:pPr>
        <w:pStyle w:val="ListParagraph"/>
        <w:numPr>
          <w:ilvl w:val="0"/>
          <w:numId w:val="2"/>
        </w:numPr>
        <w:spacing w:after="40" w:before="40"/>
      </w:pPr>
      <w:r>
        <w:rPr>
          <w:sz w:val="22"/>
          <w:szCs w:val="22"/>
        </w:rPr>
        <w:t xml:space="preserve">The local Next.js + Convex + Sanity codebase (read directly from src/)</w:t>
      </w:r>
    </w:p>
    <w:p>
      <w:pPr>
        <w:pStyle w:val="ListParagraph"/>
        <w:numPr>
          <w:ilvl w:val="0"/>
          <w:numId w:val="2"/>
        </w:numPr>
        <w:spacing w:after="40" w:before="40"/>
      </w:pPr>
      <w:r>
        <w:rPr>
          <w:sz w:val="22"/>
          <w:szCs w:val="22"/>
        </w:rPr>
        <w:t xml:space="preserve">Master data exports from 2026-05-20 (most recent Convex snapshot)</w:t>
      </w:r>
    </w:p>
    <w:p>
      <w:pPr>
        <w:pStyle w:val="ListParagraph"/>
        <w:numPr>
          <w:ilvl w:val="0"/>
          <w:numId w:val="2"/>
        </w:numPr>
        <w:spacing w:after="40" w:before="40"/>
      </w:pPr>
      <w:r>
        <w:rPr>
          <w:sz w:val="22"/>
          <w:szCs w:val="22"/>
        </w:rPr>
        <w:t xml:space="preserve">Live WebSearch tests of 8 B2B packaging queries across Google</w:t>
      </w:r>
    </w:p>
    <w:p>
      <w:pPr>
        <w:pStyle w:val="ListParagraph"/>
        <w:numPr>
          <w:ilvl w:val="0"/>
          <w:numId w:val="2"/>
        </w:numPr>
        <w:spacing w:after="40" w:before="40"/>
      </w:pPr>
      <w:r>
        <w:rPr>
          <w:sz w:val="22"/>
          <w:szCs w:val="22"/>
        </w:rPr>
        <w:t xml:space="preserve">Eight competitor sites profiled via direct WebFetch (SKS, Berlin, Cary, O.Berk, Specialty Bottle, CPS, TricorBraun, Bottles and More)</w:t>
      </w:r>
    </w:p>
    <w:p>
      <w:pPr>
        <w:spacing w:after="80" w:before="80"/>
        <w:jc w:val="left"/>
      </w:pPr>
      <w:r>
        <w:rPr>
          <w:sz w:val="22"/>
          <w:szCs w:val="22"/>
        </w:rPr>
        <w:t xml:space="preserve">Every finding cites real file paths, line numbers, or URLs. No metrics were fabricated. Where SEMrush, Ahrefs, or Google Search Console data would have strengthened a finding but was unavailable, the finding is flagged as 'directional estimate' in the source documents.</w:t>
      </w:r>
    </w:p>
    <w:p>
      <w:pPr>
        <w:spacing w:after="80" w:before="80"/>
        <w:jc w:val="left"/>
      </w:pPr>
      <w:r>
        <w:rPr>
          <w:sz w:val="22"/>
          <w:szCs w:val="22"/>
        </w:rPr>
        <w:t xml:space="preserve">The work in this folder is sufficient to launch a strong site on June 15 if the engineering and content teams execute the next 14 days as scoped.</w:t>
      </w:r>
    </w:p>
    <w:p>
      <w:r>
        <w:rPr>
          <w:sz w:val="12"/>
          <w:szCs w:val="12"/>
        </w:rPr>
        <w:t xml:space="preserve"> </w:t>
      </w:r>
    </w:p>
    <w:p>
      <w:r>
        <w:rPr>
          <w:sz w:val="12"/>
          <w:szCs w:val="12"/>
        </w:rPr>
        <w:t xml:space="preserve"> </w:t>
      </w:r>
    </w:p>
    <w:p>
      <w:pPr>
        <w:spacing w:after="80" w:before="240"/>
        <w:jc w:val="center"/>
      </w:pPr>
      <w:r>
        <w:rPr>
          <w:i/>
          <w:iCs/>
          <w:color w:val="718096"/>
          <w:sz w:val="22"/>
          <w:szCs w:val="22"/>
        </w:rPr>
        <w:t xml:space="preserve">—  End of Executive Summary  —</w:t>
      </w:r>
    </w:p>
    <w:p>
      <w:pPr>
        <w:jc w:val="center"/>
      </w:pPr>
      <w:r>
        <w:rPr>
          <w:color w:val="718096"/>
          <w:sz w:val="18"/>
          <w:szCs w:val="18"/>
        </w:rPr>
        <w:t xml:space="preserve">Asala Studio  ·  Best Bottles SEO/GEO/AEO/Social Audit  ·  2026-05-23</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color w:val="718096"/>
        <w:sz w:val="18"/>
        <w:szCs w:val="18"/>
      </w:rPr>
      <w:t xml:space="preserve">Asala Studio  ·  2026-05-23</w:t>
    </w:r>
    <w:r>
      <w:rPr>
        <w:color w:val="718096"/>
        <w:sz w:val="18"/>
        <w:szCs w:val="18"/>
      </w:rPr>
      <w:t xml:space="preserve">	Page </w:t>
    </w:r>
    <w:r>
      <w:rPr>
        <w:color w:val="71809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08D3A" w:sz="4" w:space="4"/>
      </w:pBdr>
      <w:jc w:val="right"/>
    </w:pPr>
    <w:r>
      <w:rPr>
        <w:i/>
        <w:iCs/>
        <w:color w:val="718096"/>
        <w:sz w:val="18"/>
        <w:szCs w:val="18"/>
      </w:rPr>
      <w:t xml:space="preserve">Best Bottles — SEO/GEO/AEO/Social Audit Executive Summary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Calibri" w:cs="Calibri" w:eastAsia="Calibri" w:hAnsi="Calibri"/>
      <w:b/>
      <w:bCs/>
      <w:color w:val="0F2F4C"/>
      <w:sz w:val="36"/>
      <w:szCs w:val="36"/>
    </w:rPr>
  </w:style>
  <w:style w:type="paragraph" w:styleId="Heading2">
    <w:name w:val="Heading 2"/>
    <w:basedOn w:val="Normal"/>
    <w:next w:val="Normal"/>
    <w:qFormat/>
    <w:pPr>
      <w:spacing w:after="100" w:before="280"/>
      <w:outlineLvl w:val="1"/>
    </w:pPr>
    <w:rPr>
      <w:rFonts w:ascii="Calibri" w:cs="Calibri" w:eastAsia="Calibri" w:hAnsi="Calibri"/>
      <w:b/>
      <w:bCs/>
      <w:color w:val="0F2F4C"/>
      <w:sz w:val="28"/>
      <w:szCs w:val="28"/>
    </w:rPr>
  </w:style>
  <w:style w:type="paragraph" w:styleId="Heading3">
    <w:name w:val="Heading 3"/>
    <w:basedOn w:val="Normal"/>
    <w:next w:val="Normal"/>
    <w:qFormat/>
    <w:pPr>
      <w:spacing w:after="80" w:before="220"/>
      <w:outlineLvl w:val="2"/>
    </w:pPr>
    <w:rPr>
      <w:rFonts w:ascii="Calibri" w:cs="Calibri" w:eastAsia="Calibri" w:hAnsi="Calibri"/>
      <w:b/>
      <w:bCs/>
      <w:color w:val="4A556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Best Bottles — SEO/GEO/AEO/Social Audit Executive Summary</dc:title>
  <dc:creator>Asala Studio</dc:creator>
  <dc:description>Executive summary of the comprehensive SEO audit for the Best Bottles website relaunch, dated 2026-05-23, target launch 2026-06-15.</dc:description>
  <cp:lastModifiedBy>Un-named</cp:lastModifiedBy>
  <cp:revision>1</cp:revision>
  <dcterms:created xsi:type="dcterms:W3CDTF">2026-05-24T00:25:39.568Z</dcterms:created>
  <dcterms:modified xsi:type="dcterms:W3CDTF">2026-05-24T00:25:39.569Z</dcterms:modified>
</cp:coreProperties>
</file>

<file path=docProps/custom.xml><?xml version="1.0" encoding="utf-8"?>
<Properties xmlns="http://schemas.openxmlformats.org/officeDocument/2006/custom-properties" xmlns:vt="http://schemas.openxmlformats.org/officeDocument/2006/docPropsVTypes"/>
</file>