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0.svg" ContentType="image/svg+xml"/>
  <Override PartName="/word/media/rId24.svg" ContentType="image/svg+xml"/>
  <Override PartName="/word/media/rId25.svg" ContentType="image/svg+xml"/>
  <Override PartName="/word/media/rId26.svg" ContentType="image/svg+xml"/>
  <Override PartName="/word/media/rId32.svg" ContentType="image/svg+xml"/>
  <Override PartName="/word/media/rId22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Definición</w:t>
      </w:r>
      <w:r>
        <w:t xml:space="preserve"> </w:t>
      </w:r>
      <w:r>
        <w:t xml:space="preserve">de</w:t>
      </w:r>
      <w:r>
        <w:t xml:space="preserve"> </w:t>
      </w:r>
      <w:r>
        <w:t xml:space="preserve">estadios</w:t>
      </w:r>
      <w:r>
        <w:t xml:space="preserve"> </w:t>
      </w:r>
      <w:r>
        <w:t xml:space="preserve">de</w:t>
      </w:r>
      <w:r>
        <w:t xml:space="preserve"> </w:t>
      </w:r>
      <w:r>
        <w:t xml:space="preserve">Glaucoma</w:t>
      </w:r>
      <w:r>
        <w:t xml:space="preserve"> </w:t>
      </w:r>
      <w:r>
        <w:t xml:space="preserve">(ojos</w:t>
      </w:r>
      <w:r>
        <w:t xml:space="preserve"> </w:t>
      </w:r>
      <w:r>
        <w:t xml:space="preserve">izquierdos)</w:t>
      </w:r>
    </w:p>
    <w:p>
      <w:pPr>
        <w:pStyle w:val="Date"/>
      </w:pPr>
      <w:r>
        <w:t xml:space="preserve">2019-12-22</w:t>
      </w:r>
    </w:p>
    <w:p>
      <w:pPr>
        <w:pStyle w:val="Heading1"/>
      </w:pPr>
      <w:bookmarkStart w:id="20" w:name="objetivo"/>
      <w:r>
        <w:t xml:space="preserve">Objetivo</w:t>
      </w:r>
      <w:bookmarkEnd w:id="20"/>
    </w:p>
    <w:p>
      <w:pPr>
        <w:pStyle w:val="FirstParagraph"/>
      </w:pPr>
      <w:r>
        <w:t xml:space="preserve">En este estudio se pretende definir distintos grupos de gravedad de glaucoma (estadíos de desarrollo de la enfermedad) en función del grosor de los anillos neuroretinianos, mediante la técnica de las</w:t>
      </w:r>
      <w:r>
        <w:t xml:space="preserve"> </w:t>
      </w:r>
      <m:oMath>
        <m:r>
          <m:t>k</m:t>
        </m:r>
      </m:oMath>
      <w:r>
        <w:t xml:space="preserve">-medias.</w:t>
      </w:r>
    </w:p>
    <w:p>
      <w:pPr>
        <w:pStyle w:val="Heading1"/>
      </w:pPr>
      <w:bookmarkStart w:id="21" w:name="correlación"/>
      <w:r>
        <w:t xml:space="preserve">Correlación</w:t>
      </w:r>
      <w:bookmarkEnd w:id="21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matriz-correlacion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nálisis-de-componentes-principales"/>
      <w:r>
        <w:t xml:space="preserve">Análisis de componentes principales</w:t>
      </w:r>
      <w:bookmarkEnd w:id="23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observa que la mayor parte de la variabilidad la explica la primera dimensión. Ello es debido a la alta correlación entre los sectores de los distintos anillos.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2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mponentes-principales-2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observa que los sectores que más peso tienen en el primer componente principal son el global y el temporal inferior de todos los anillos. Estas variables son precisamente las más correlacionadas entre si tal y como se aprecia en el siguente gráfico.</w:t>
      </w:r>
    </w:p>
    <w:p>
      <w:pPr>
        <w:pStyle w:val="Heading1"/>
      </w:pPr>
      <w:bookmarkStart w:id="27" w:name="estadios"/>
      <w:r>
        <w:t xml:space="preserve">Estadios</w:t>
      </w:r>
      <w:bookmarkEnd w:id="27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numero-cluster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la vista del gráfico se decide crear 4 grupos, ya que la reducción de la variabilidad intra-grupo a partir de 4 grupos no es significativa.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lusters-izdo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lusters-izdo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estadísticos-de-la-distribución-de-anillobmo.g-anillobmo.ti-anillo3.5.g-y-anillo3.5.ti-por-estadios-stages"/>
      <w:r>
        <w:t xml:space="preserve">Estadísticos de la distribución de AnilloBMO.G, AnilloBMO.TI, Anillo3.5.G y Anillo3.5.TI por Estadios stages</w:t>
      </w:r>
      <w:bookmarkEnd w:id="31"/>
    </w:p>
    <w:tbl>
      <w:tblPr>
        <w:tblStyle w:val="Table"/>
        <w:tblW w:type="pct" w:w="5000.0"/>
        <w:tblLook w:firstRow="1"/>
      </w:tblPr>
      <w:tblGrid>
        <w:gridCol w:w="1414"/>
        <w:gridCol w:w="942"/>
        <w:gridCol w:w="565"/>
        <w:gridCol w:w="942"/>
        <w:gridCol w:w="848"/>
        <w:gridCol w:w="942"/>
        <w:gridCol w:w="1131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Estadio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lower.ci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upper.ci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1.037</w:t>
            </w:r>
          </w:p>
        </w:tc>
        <w:tc>
          <w:p>
            <w:pPr>
              <w:pStyle w:val="Compact"/>
              <w:jc w:val="center"/>
            </w:pPr>
            <w:r>
              <w:t xml:space="preserve">0.0375</w:t>
            </w:r>
          </w:p>
        </w:tc>
        <w:tc>
          <w:p>
            <w:pPr>
              <w:pStyle w:val="Compact"/>
              <w:jc w:val="center"/>
            </w:pPr>
            <w:r>
              <w:t xml:space="preserve">0.2664</w:t>
            </w:r>
          </w:p>
        </w:tc>
        <w:tc>
          <w:p>
            <w:pPr>
              <w:pStyle w:val="Compact"/>
              <w:jc w:val="center"/>
            </w:pPr>
            <w:r>
              <w:t xml:space="preserve">0.4136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-0.3516</w:t>
            </w:r>
          </w:p>
        </w:tc>
        <w:tc>
          <w:p>
            <w:pPr>
              <w:pStyle w:val="Compact"/>
              <w:jc w:val="center"/>
            </w:pPr>
            <w:r>
              <w:t xml:space="preserve">0.9794</w:t>
            </w:r>
          </w:p>
        </w:tc>
        <w:tc>
          <w:p>
            <w:pPr>
              <w:pStyle w:val="Compact"/>
              <w:jc w:val="center"/>
            </w:pPr>
            <w:r>
              <w:t xml:space="preserve">0.1372</w:t>
            </w:r>
          </w:p>
        </w:tc>
        <w:tc>
          <w:p>
            <w:pPr>
              <w:pStyle w:val="Compact"/>
              <w:jc w:val="center"/>
            </w:pPr>
            <w:r>
              <w:t xml:space="preserve">-0.6271</w:t>
            </w:r>
          </w:p>
        </w:tc>
        <w:tc>
          <w:p>
            <w:pPr>
              <w:pStyle w:val="Compact"/>
              <w:jc w:val="center"/>
            </w:pPr>
            <w:r>
              <w:t xml:space="preserve">-0.07616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-1.472</w:t>
            </w:r>
          </w:p>
        </w:tc>
        <w:tc>
          <w:p>
            <w:pPr>
              <w:pStyle w:val="Compact"/>
              <w:jc w:val="center"/>
            </w:pPr>
            <w:r>
              <w:t xml:space="preserve">0.8091</w:t>
            </w:r>
          </w:p>
        </w:tc>
        <w:tc>
          <w:p>
            <w:pPr>
              <w:pStyle w:val="Compact"/>
              <w:jc w:val="center"/>
            </w:pPr>
            <w:r>
              <w:t xml:space="preserve">0.09162</w:t>
            </w:r>
          </w:p>
        </w:tc>
        <w:tc>
          <w:p>
            <w:pPr>
              <w:pStyle w:val="Compact"/>
              <w:jc w:val="center"/>
            </w:pPr>
            <w:r>
              <w:t xml:space="preserve">-1.654</w:t>
            </w:r>
          </w:p>
        </w:tc>
        <w:tc>
          <w:p>
            <w:pPr>
              <w:pStyle w:val="Compact"/>
              <w:jc w:val="center"/>
            </w:pPr>
            <w:r>
              <w:t xml:space="preserve">-1.289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-1.976</w:t>
            </w:r>
          </w:p>
        </w:tc>
        <w:tc>
          <w:p>
            <w:pPr>
              <w:pStyle w:val="Compact"/>
              <w:jc w:val="center"/>
            </w:pPr>
            <w:r>
              <w:t xml:space="preserve">0.8783</w:t>
            </w:r>
          </w:p>
        </w:tc>
        <w:tc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p>
            <w:pPr>
              <w:pStyle w:val="Compact"/>
              <w:jc w:val="center"/>
            </w:pPr>
            <w:r>
              <w:t xml:space="preserve">-2.211</w:t>
            </w:r>
          </w:p>
        </w:tc>
        <w:tc>
          <w:p>
            <w:pPr>
              <w:pStyle w:val="Compact"/>
              <w:jc w:val="center"/>
            </w:pPr>
            <w:r>
              <w:t xml:space="preserve">-1.74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AnilloBMO.G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-3.188</w:t>
            </w:r>
          </w:p>
        </w:tc>
        <w:tc>
          <w:p>
            <w:pPr>
              <w:pStyle w:val="Compact"/>
              <w:jc w:val="center"/>
            </w:pPr>
            <w:r>
              <w:t xml:space="preserve">0.8738</w:t>
            </w:r>
          </w:p>
        </w:tc>
        <w:tc>
          <w:p>
            <w:pPr>
              <w:pStyle w:val="Compact"/>
              <w:jc w:val="center"/>
            </w:pPr>
            <w:r>
              <w:t xml:space="preserve">0.1365</w:t>
            </w:r>
          </w:p>
        </w:tc>
        <w:tc>
          <w:p>
            <w:pPr>
              <w:pStyle w:val="Compact"/>
              <w:jc w:val="center"/>
            </w:pPr>
            <w:r>
              <w:t xml:space="preserve">-3.464</w:t>
            </w:r>
          </w:p>
        </w:tc>
        <w:tc>
          <w:p>
            <w:pPr>
              <w:pStyle w:val="Compact"/>
              <w:jc w:val="center"/>
            </w:pPr>
            <w:r>
              <w:t xml:space="preserve">-2.912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0.2184</w:t>
            </w:r>
          </w:p>
        </w:tc>
        <w:tc>
          <w:p>
            <w:pPr>
              <w:pStyle w:val="Compact"/>
              <w:jc w:val="center"/>
            </w:pPr>
            <w:r>
              <w:t xml:space="preserve">0.9992</w:t>
            </w:r>
          </w:p>
        </w:tc>
        <w:tc>
          <w:p>
            <w:pPr>
              <w:pStyle w:val="Compact"/>
              <w:jc w:val="center"/>
            </w:pPr>
            <w:r>
              <w:t xml:space="preserve">0.03613</w:t>
            </w:r>
          </w:p>
        </w:tc>
        <w:tc>
          <w:p>
            <w:pPr>
              <w:pStyle w:val="Compact"/>
              <w:jc w:val="center"/>
            </w:pPr>
            <w:r>
              <w:t xml:space="preserve">0.1475</w:t>
            </w:r>
          </w:p>
        </w:tc>
        <w:tc>
          <w:p>
            <w:pPr>
              <w:pStyle w:val="Compact"/>
              <w:jc w:val="center"/>
            </w:pPr>
            <w:r>
              <w:t xml:space="preserve">0.2893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-0.2698</w:t>
            </w:r>
          </w:p>
        </w:tc>
        <w:tc>
          <w:p>
            <w:pPr>
              <w:pStyle w:val="Compact"/>
              <w:jc w:val="center"/>
            </w:pPr>
            <w:r>
              <w:t xml:space="preserve">0.9536</w:t>
            </w:r>
          </w:p>
        </w:tc>
        <w:tc>
          <w:p>
            <w:pPr>
              <w:pStyle w:val="Compact"/>
              <w:jc w:val="center"/>
            </w:pPr>
            <w:r>
              <w:t xml:space="preserve">0.1335</w:t>
            </w:r>
          </w:p>
        </w:tc>
        <w:tc>
          <w:p>
            <w:pPr>
              <w:pStyle w:val="Compact"/>
              <w:jc w:val="center"/>
            </w:pPr>
            <w:r>
              <w:t xml:space="preserve">-0.538</w:t>
            </w:r>
          </w:p>
        </w:tc>
        <w:tc>
          <w:p>
            <w:pPr>
              <w:pStyle w:val="Compact"/>
              <w:jc w:val="center"/>
            </w:pPr>
            <w:r>
              <w:t xml:space="preserve">-0.001556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-1.23</w:t>
            </w:r>
          </w:p>
        </w:tc>
        <w:tc>
          <w:p>
            <w:pPr>
              <w:pStyle w:val="Compact"/>
              <w:jc w:val="center"/>
            </w:pPr>
            <w:r>
              <w:t xml:space="preserve">0.9312</w:t>
            </w:r>
          </w:p>
        </w:tc>
        <w:tc>
          <w:p>
            <w:pPr>
              <w:pStyle w:val="Compact"/>
              <w:jc w:val="center"/>
            </w:pPr>
            <w:r>
              <w:t xml:space="preserve">0.1054</w:t>
            </w:r>
          </w:p>
        </w:tc>
        <w:tc>
          <w:p>
            <w:pPr>
              <w:pStyle w:val="Compact"/>
              <w:jc w:val="center"/>
            </w:pPr>
            <w:r>
              <w:t xml:space="preserve">-1.44</w:t>
            </w:r>
          </w:p>
        </w:tc>
        <w:tc>
          <w:p>
            <w:pPr>
              <w:pStyle w:val="Compact"/>
              <w:jc w:val="center"/>
            </w:pPr>
            <w:r>
              <w:t xml:space="preserve">-1.02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-2.325</w:t>
            </w:r>
          </w:p>
        </w:tc>
        <w:tc>
          <w:p>
            <w:pPr>
              <w:pStyle w:val="Compact"/>
              <w:jc w:val="center"/>
            </w:pPr>
            <w:r>
              <w:t xml:space="preserve">1.007</w:t>
            </w:r>
          </w:p>
        </w:tc>
        <w:tc>
          <w:p>
            <w:pPr>
              <w:pStyle w:val="Compact"/>
              <w:jc w:val="center"/>
            </w:pPr>
            <w:r>
              <w:t xml:space="preserve">0.1346</w:t>
            </w:r>
          </w:p>
        </w:tc>
        <w:tc>
          <w:p>
            <w:pPr>
              <w:pStyle w:val="Compact"/>
              <w:jc w:val="center"/>
            </w:pPr>
            <w:r>
              <w:t xml:space="preserve">-2.595</w:t>
            </w:r>
          </w:p>
        </w:tc>
        <w:tc>
          <w:p>
            <w:pPr>
              <w:pStyle w:val="Compact"/>
              <w:jc w:val="center"/>
            </w:pPr>
            <w:r>
              <w:t xml:space="preserve">-2.055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AnilloBMO.TI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-3.377</w:t>
            </w:r>
          </w:p>
        </w:tc>
        <w:tc>
          <w:p>
            <w:pPr>
              <w:pStyle w:val="Compact"/>
              <w:jc w:val="center"/>
            </w:pPr>
            <w:r>
              <w:t xml:space="preserve">0.8779</w:t>
            </w:r>
          </w:p>
        </w:tc>
        <w:tc>
          <w:p>
            <w:pPr>
              <w:pStyle w:val="Compact"/>
              <w:jc w:val="center"/>
            </w:pPr>
            <w:r>
              <w:t xml:space="preserve">0.1371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-3.1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1.044</w:t>
            </w:r>
          </w:p>
        </w:tc>
        <w:tc>
          <w:p>
            <w:pPr>
              <w:pStyle w:val="Compact"/>
              <w:jc w:val="center"/>
            </w:pPr>
            <w:r>
              <w:t xml:space="preserve">0.03776</w:t>
            </w:r>
          </w:p>
        </w:tc>
        <w:tc>
          <w:p>
            <w:pPr>
              <w:pStyle w:val="Compact"/>
              <w:jc w:val="center"/>
            </w:pPr>
            <w:r>
              <w:t xml:space="preserve">0.2423</w:t>
            </w:r>
          </w:p>
        </w:tc>
        <w:tc>
          <w:p>
            <w:pPr>
              <w:pStyle w:val="Compact"/>
              <w:jc w:val="center"/>
            </w:pPr>
            <w:r>
              <w:t xml:space="preserve">0.3906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0.7404</w:t>
            </w:r>
          </w:p>
        </w:tc>
        <w:tc>
          <w:p>
            <w:pPr>
              <w:pStyle w:val="Compact"/>
              <w:jc w:val="center"/>
            </w:pPr>
            <w:r>
              <w:t xml:space="preserve">0.1037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0.8082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-1.337</w:t>
            </w:r>
          </w:p>
        </w:tc>
        <w:tc>
          <w:p>
            <w:pPr>
              <w:pStyle w:val="Compact"/>
              <w:jc w:val="center"/>
            </w:pPr>
            <w:r>
              <w:t xml:space="preserve">0.7206</w:t>
            </w:r>
          </w:p>
        </w:tc>
        <w:tc>
          <w:p>
            <w:pPr>
              <w:pStyle w:val="Compact"/>
              <w:jc w:val="center"/>
            </w:pPr>
            <w:r>
              <w:t xml:space="preserve">0.08159</w:t>
            </w:r>
          </w:p>
        </w:tc>
        <w:tc>
          <w:p>
            <w:pPr>
              <w:pStyle w:val="Compact"/>
              <w:jc w:val="center"/>
            </w:pPr>
            <w:r>
              <w:t xml:space="preserve">-1.5</w:t>
            </w:r>
          </w:p>
        </w:tc>
        <w:tc>
          <w:p>
            <w:pPr>
              <w:pStyle w:val="Compact"/>
              <w:jc w:val="center"/>
            </w:pPr>
            <w:r>
              <w:t xml:space="preserve">-1.175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-3.129</w:t>
            </w:r>
          </w:p>
        </w:tc>
        <w:tc>
          <w:p>
            <w:pPr>
              <w:pStyle w:val="Compact"/>
              <w:jc w:val="center"/>
            </w:pPr>
            <w:r>
              <w:t xml:space="preserve">0.7729</w:t>
            </w:r>
          </w:p>
        </w:tc>
        <w:tc>
          <w:p>
            <w:pPr>
              <w:pStyle w:val="Compact"/>
              <w:jc w:val="center"/>
            </w:pPr>
            <w:r>
              <w:t xml:space="preserve">0.1033</w:t>
            </w:r>
          </w:p>
        </w:tc>
        <w:tc>
          <w:p>
            <w:pPr>
              <w:pStyle w:val="Compact"/>
              <w:jc w:val="center"/>
            </w:pPr>
            <w:r>
              <w:t xml:space="preserve">-3.336</w:t>
            </w:r>
          </w:p>
        </w:tc>
        <w:tc>
          <w:p>
            <w:pPr>
              <w:pStyle w:val="Compact"/>
              <w:jc w:val="center"/>
            </w:pPr>
            <w:r>
              <w:t xml:space="preserve">-2.922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Anillo3.5.G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-5.493</w:t>
            </w:r>
          </w:p>
        </w:tc>
        <w:tc>
          <w:p>
            <w:pPr>
              <w:pStyle w:val="Compact"/>
              <w:jc w:val="center"/>
            </w:pPr>
            <w:r>
              <w:t xml:space="preserve">1.132</w:t>
            </w:r>
          </w:p>
        </w:tc>
        <w:tc>
          <w:p>
            <w:pPr>
              <w:pStyle w:val="Compact"/>
              <w:jc w:val="center"/>
            </w:pPr>
            <w:r>
              <w:t xml:space="preserve">0.1768</w:t>
            </w:r>
          </w:p>
        </w:tc>
        <w:tc>
          <w:p>
            <w:pPr>
              <w:pStyle w:val="Compact"/>
              <w:jc w:val="center"/>
            </w:pPr>
            <w:r>
              <w:t xml:space="preserve">-5.85</w:t>
            </w:r>
          </w:p>
        </w:tc>
        <w:tc>
          <w:p>
            <w:pPr>
              <w:pStyle w:val="Compact"/>
              <w:jc w:val="center"/>
            </w:pPr>
            <w:r>
              <w:t xml:space="preserve">-5.136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Sano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center"/>
            </w:pPr>
            <w:r>
              <w:t xml:space="preserve">0.07504</w:t>
            </w:r>
          </w:p>
        </w:tc>
        <w:tc>
          <w:p>
            <w:pPr>
              <w:pStyle w:val="Compact"/>
              <w:jc w:val="center"/>
            </w:pPr>
            <w:r>
              <w:t xml:space="preserve">1.114</w:t>
            </w:r>
          </w:p>
        </w:tc>
        <w:tc>
          <w:p>
            <w:pPr>
              <w:pStyle w:val="Compact"/>
              <w:jc w:val="center"/>
            </w:pPr>
            <w:r>
              <w:t xml:space="preserve">0.04029</w:t>
            </w:r>
          </w:p>
        </w:tc>
        <w:tc>
          <w:p>
            <w:pPr>
              <w:pStyle w:val="Compact"/>
              <w:jc w:val="center"/>
            </w:pPr>
            <w:r>
              <w:t xml:space="preserve">-0.004048</w:t>
            </w:r>
          </w:p>
        </w:tc>
        <w:tc>
          <w:p>
            <w:pPr>
              <w:pStyle w:val="Compact"/>
              <w:jc w:val="center"/>
            </w:pPr>
            <w:r>
              <w:t xml:space="preserve">0.1541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0.05274</w:t>
            </w:r>
          </w:p>
        </w:tc>
        <w:tc>
          <w:p>
            <w:pPr>
              <w:pStyle w:val="Compact"/>
              <w:jc w:val="center"/>
            </w:pPr>
            <w:r>
              <w:t xml:space="preserve">0.8429</w:t>
            </w:r>
          </w:p>
        </w:tc>
        <w:tc>
          <w:p>
            <w:pPr>
              <w:pStyle w:val="Compact"/>
              <w:jc w:val="center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-0.1843</w:t>
            </w:r>
          </w:p>
        </w:tc>
        <w:tc>
          <w:p>
            <w:pPr>
              <w:pStyle w:val="Compact"/>
              <w:jc w:val="center"/>
            </w:pPr>
            <w:r>
              <w:t xml:space="preserve">0.2898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-1.018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0.1178</w:t>
            </w:r>
          </w:p>
        </w:tc>
        <w:tc>
          <w:p>
            <w:pPr>
              <w:pStyle w:val="Compact"/>
              <w:jc w:val="center"/>
            </w:pPr>
            <w:r>
              <w:t xml:space="preserve">-1.252</w:t>
            </w:r>
          </w:p>
        </w:tc>
        <w:tc>
          <w:p>
            <w:pPr>
              <w:pStyle w:val="Compact"/>
              <w:jc w:val="center"/>
            </w:pPr>
            <w:r>
              <w:t xml:space="preserve">-0.7831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1.259</w:t>
            </w:r>
          </w:p>
        </w:tc>
        <w:tc>
          <w:p>
            <w:pPr>
              <w:pStyle w:val="Compact"/>
              <w:jc w:val="center"/>
            </w:pPr>
            <w:r>
              <w:t xml:space="preserve">0.1682</w:t>
            </w:r>
          </w:p>
        </w:tc>
        <w:tc>
          <w:p>
            <w:pPr>
              <w:pStyle w:val="Compact"/>
              <w:jc w:val="center"/>
            </w:pPr>
            <w:r>
              <w:t xml:space="preserve">-3.991</w:t>
            </w:r>
          </w:p>
        </w:tc>
        <w:tc>
          <w:p>
            <w:pPr>
              <w:pStyle w:val="Compact"/>
              <w:jc w:val="center"/>
            </w:pPr>
            <w:r>
              <w:t xml:space="preserve">-3.317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Anillo3.5.TI</w:t>
            </w:r>
          </w:p>
        </w:tc>
        <w:tc>
          <w:p>
            <w:pPr>
              <w:pStyle w:val="Compact"/>
              <w:jc w:val="center"/>
            </w:pPr>
            <w:r>
              <w:t xml:space="preserve">IV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-5.305</w:t>
            </w:r>
          </w:p>
        </w:tc>
        <w:tc>
          <w:p>
            <w:pPr>
              <w:pStyle w:val="Compact"/>
              <w:jc w:val="center"/>
            </w:pPr>
            <w:r>
              <w:t xml:space="preserve">1.117</w:t>
            </w:r>
          </w:p>
        </w:tc>
        <w:tc>
          <w:p>
            <w:pPr>
              <w:pStyle w:val="Compact"/>
              <w:jc w:val="center"/>
            </w:pPr>
            <w:r>
              <w:t xml:space="preserve">0.1745</w:t>
            </w:r>
          </w:p>
        </w:tc>
        <w:tc>
          <w:p>
            <w:pPr>
              <w:pStyle w:val="Compact"/>
              <w:jc w:val="center"/>
            </w:pPr>
            <w:r>
              <w:t xml:space="preserve">-5.658</w:t>
            </w:r>
          </w:p>
        </w:tc>
        <w:tc>
          <w:p>
            <w:pPr>
              <w:pStyle w:val="Compact"/>
              <w:jc w:val="center"/>
            </w:pPr>
            <w:r>
              <w:t xml:space="preserve">-4.953</w:t>
            </w:r>
          </w:p>
        </w:tc>
      </w:tr>
    </w:tbl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aucoma-clusters-izdo_files/figure-docx/confidence-intervals-means-clusters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25" Target="media/rId25.svg" /><Relationship Type="http://schemas.openxmlformats.org/officeDocument/2006/relationships/image" Id="rId26" Target="media/rId26.svg" /><Relationship Type="http://schemas.openxmlformats.org/officeDocument/2006/relationships/image" Id="rId32" Target="media/rId32.svg" /><Relationship Type="http://schemas.openxmlformats.org/officeDocument/2006/relationships/image" Id="rId22" Target="media/rId22.svg" /><Relationship Type="http://schemas.openxmlformats.org/officeDocument/2006/relationships/image" Id="rId28" Target="media/rId28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estadios de Glaucoma (ojos izquierdos)</dc:title>
  <dc:creator/>
  <cp:keywords/>
  <dcterms:created xsi:type="dcterms:W3CDTF">2019-12-22T10:28:30Z</dcterms:created>
  <dcterms:modified xsi:type="dcterms:W3CDTF">2019-12-22T10:28:30Z</dcterms:modified>
</cp:coreProperties>
</file>