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C5DF0" w14:textId="77777777" w:rsidR="00316BC6" w:rsidRDefault="001422CC" w:rsidP="001422CC">
      <w:pPr>
        <w:spacing w:after="80"/>
        <w:jc w:val="both"/>
      </w:pPr>
      <w:r>
        <w:rPr>
          <w:b/>
          <w:bCs/>
          <w:sz w:val="44"/>
          <w:szCs w:val="44"/>
        </w:rPr>
        <w:t>UK Trial-Based Economic Evaluation: AMIGOS</w:t>
      </w:r>
    </w:p>
    <w:p w14:paraId="067C96F5" w14:textId="77777777" w:rsidR="00316BC6" w:rsidRDefault="001422CC" w:rsidP="001422CC">
      <w:pPr>
        <w:spacing w:after="300"/>
        <w:jc w:val="both"/>
      </w:pPr>
      <w:r>
        <w:rPr>
          <w:i/>
          <w:iCs/>
          <w:color w:val="666666"/>
          <w:sz w:val="24"/>
          <w:szCs w:val="24"/>
        </w:rPr>
        <w:t>Preliminary exploratory analysis — geriatrician-led case management vs. usual care</w:t>
      </w:r>
    </w:p>
    <w:p w14:paraId="74B7F584" w14:textId="77777777" w:rsidR="00316BC6" w:rsidRDefault="001422CC" w:rsidP="001422CC">
      <w:pPr>
        <w:pStyle w:val="Heading1"/>
        <w:spacing w:before="300" w:after="150"/>
        <w:jc w:val="both"/>
      </w:pPr>
      <w:r>
        <w:t>1. Overview</w:t>
      </w:r>
    </w:p>
    <w:p w14:paraId="5052B1DA" w14:textId="77777777" w:rsidR="00316BC6" w:rsidRDefault="001422CC" w:rsidP="001422CC">
      <w:pPr>
        <w:spacing w:after="120"/>
        <w:jc w:val="both"/>
      </w:pPr>
      <w:r>
        <w:t xml:space="preserve">This is a preliminary trial-based economic evaluation using publicly available patient-level data from the AMIGOS </w:t>
      </w:r>
      <w:proofErr w:type="spellStart"/>
      <w:r>
        <w:t>randomised</w:t>
      </w:r>
      <w:proofErr w:type="spellEnd"/>
      <w:r>
        <w:t xml:space="preserve"> controlled trial, which compared a geriatrician-led case management intervention against usual care for older people discharged fro</w:t>
      </w:r>
      <w:r>
        <w:t>m an acute medical unit. The evaluation follows patients for 90 days post-discharge, estimating incremental cost, incremental quality-adjusted life years (QALYs), and the resulting incremental cost-effectiveness ratio (ICER).</w:t>
      </w:r>
    </w:p>
    <w:p w14:paraId="0F7DDD6D" w14:textId="77777777" w:rsidR="00316BC6" w:rsidRDefault="001422CC" w:rsidP="001422CC">
      <w:pPr>
        <w:spacing w:after="160"/>
        <w:jc w:val="both"/>
      </w:pPr>
      <w:r>
        <w:rPr>
          <w:i/>
          <w:iCs/>
          <w:color w:val="666666"/>
        </w:rPr>
        <w:t>This is an independent, self-d</w:t>
      </w:r>
      <w:r>
        <w:rPr>
          <w:i/>
          <w:iCs/>
          <w:color w:val="666666"/>
        </w:rPr>
        <w:t>irected replication exercise for methods practice, not the original trial publication.</w:t>
      </w:r>
    </w:p>
    <w:p w14:paraId="6AA46148" w14:textId="77777777" w:rsidR="00316BC6" w:rsidRDefault="001422CC" w:rsidP="001422CC">
      <w:pPr>
        <w:pStyle w:val="Heading1"/>
        <w:spacing w:before="300" w:after="150"/>
        <w:jc w:val="both"/>
      </w:pPr>
      <w:r>
        <w:t>2. Methods summary</w:t>
      </w:r>
    </w:p>
    <w:p w14:paraId="3F34FA52" w14:textId="77777777" w:rsidR="00316BC6" w:rsidRDefault="001422CC" w:rsidP="001422CC">
      <w:pPr>
        <w:spacing w:after="120"/>
        <w:jc w:val="both"/>
      </w:pPr>
      <w:r>
        <w:t>EQ-5D-3L dimensions (mobility, self-care, usual activities, pain/discomfort, anxiety/depression) recorded at baseline and 90-day follow-up were scored</w:t>
      </w:r>
      <w:r>
        <w:t xml:space="preserve"> using the UK time-trade-off value set. QALYs were calculated via the area-under-the-curve method: a trapezoid between baseline and follow-up utility for patients alive at follow-up, and a linear decline from baseline utility to zero at date of death for p</w:t>
      </w:r>
      <w:r>
        <w:t>atients who died during the study.</w:t>
      </w:r>
    </w:p>
    <w:p w14:paraId="6E73FC98" w14:textId="77777777" w:rsidR="00316BC6" w:rsidRDefault="001422CC" w:rsidP="001422CC">
      <w:pPr>
        <w:spacing w:after="120"/>
        <w:jc w:val="both"/>
      </w:pPr>
      <w:r>
        <w:t>Resource use was costed component-by-component: inpatient/</w:t>
      </w:r>
      <w:proofErr w:type="spellStart"/>
      <w:r>
        <w:t>daycase</w:t>
      </w:r>
      <w:proofErr w:type="spellEnd"/>
      <w:r>
        <w:t xml:space="preserve"> episodes using HRG-level unit costs from the NHS National Schedule of Reference Costs 2011-12 (the last year using the HRG4 currency, matching the trial pe</w:t>
      </w:r>
      <w:r>
        <w:t>riod); outpatient attendances using treatment-function-code-level attendance tariffs from the same source; social care and primary/tertiary care costs as recorded directly in the dataset; and intervention delivery time costed at a fixed hourly wage rate. A</w:t>
      </w:r>
      <w:r>
        <w:t xml:space="preserve">ll costs and QALYs were aggregated to one total per patient and </w:t>
      </w:r>
      <w:proofErr w:type="spellStart"/>
      <w:r>
        <w:t>analysed</w:t>
      </w:r>
      <w:proofErr w:type="spellEnd"/>
      <w:r>
        <w:t xml:space="preserve"> on a complete-case basis.</w:t>
      </w:r>
    </w:p>
    <w:p w14:paraId="72AE4721" w14:textId="77777777" w:rsidR="00316BC6" w:rsidRDefault="001422CC" w:rsidP="001422CC">
      <w:pPr>
        <w:spacing w:after="120"/>
        <w:jc w:val="both"/>
      </w:pPr>
      <w:r>
        <w:t>Uncertainty was quantified using a non-parametric bootstrap (2,000 replicates, resampled within each arm), producing a cost-effectiveness plane and a cost-ef</w:t>
      </w:r>
      <w:r>
        <w:t>fectiveness acceptability curve (CEAC) across willingness-to-pay thresholds from £0 to £50,000 per QALY.</w:t>
      </w:r>
    </w:p>
    <w:p w14:paraId="22EBBD31" w14:textId="77777777" w:rsidR="00316BC6" w:rsidRDefault="001422CC" w:rsidP="001422CC">
      <w:pPr>
        <w:pStyle w:val="Heading1"/>
        <w:spacing w:before="300" w:after="150"/>
        <w:jc w:val="both"/>
      </w:pPr>
      <w:r>
        <w:t>3. Baseline characteristics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00"/>
        <w:gridCol w:w="1300"/>
        <w:gridCol w:w="1100"/>
        <w:gridCol w:w="1900"/>
        <w:gridCol w:w="1900"/>
      </w:tblGrid>
      <w:tr w:rsidR="00316BC6" w14:paraId="633D91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</w:tcPr>
          <w:p w14:paraId="48C5D28C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>Arm</w:t>
            </w:r>
          </w:p>
        </w:tc>
        <w:tc>
          <w:tcPr>
            <w:tcW w:w="800" w:type="dxa"/>
            <w:shd w:val="clear" w:color="auto" w:fill="1F3864"/>
          </w:tcPr>
          <w:p w14:paraId="682B2537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300" w:type="dxa"/>
            <w:shd w:val="clear" w:color="auto" w:fill="1F3864"/>
          </w:tcPr>
          <w:p w14:paraId="5A3F9F72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>Mean age</w:t>
            </w:r>
          </w:p>
        </w:tc>
        <w:tc>
          <w:tcPr>
            <w:tcW w:w="1100" w:type="dxa"/>
            <w:shd w:val="clear" w:color="auto" w:fill="1F3864"/>
          </w:tcPr>
          <w:p w14:paraId="55D4CAE7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 xml:space="preserve">% </w:t>
            </w:r>
            <w:proofErr w:type="gramStart"/>
            <w:r>
              <w:rPr>
                <w:b/>
                <w:bCs/>
                <w:color w:val="FFFFFF"/>
              </w:rPr>
              <w:t>female</w:t>
            </w:r>
            <w:proofErr w:type="gramEnd"/>
          </w:p>
        </w:tc>
        <w:tc>
          <w:tcPr>
            <w:tcW w:w="1900" w:type="dxa"/>
            <w:shd w:val="clear" w:color="auto" w:fill="1F3864"/>
          </w:tcPr>
          <w:p w14:paraId="5F78EEBC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 xml:space="preserve">Mean </w:t>
            </w:r>
            <w:proofErr w:type="spellStart"/>
            <w:r>
              <w:rPr>
                <w:b/>
                <w:bCs/>
                <w:color w:val="FFFFFF"/>
              </w:rPr>
              <w:t>Charlson</w:t>
            </w:r>
            <w:proofErr w:type="spellEnd"/>
            <w:r>
              <w:rPr>
                <w:b/>
                <w:bCs/>
                <w:color w:val="FFFFFF"/>
              </w:rPr>
              <w:t xml:space="preserve"> score</w:t>
            </w:r>
          </w:p>
        </w:tc>
        <w:tc>
          <w:tcPr>
            <w:tcW w:w="1900" w:type="dxa"/>
            <w:shd w:val="clear" w:color="auto" w:fill="1F3864"/>
          </w:tcPr>
          <w:p w14:paraId="3D6B94F0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>Mean baseline utility</w:t>
            </w:r>
          </w:p>
        </w:tc>
      </w:tr>
      <w:tr w:rsidR="00316BC6" w14:paraId="12EFE7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4C06C52A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Usual care</w:t>
            </w:r>
          </w:p>
        </w:tc>
        <w:tc>
          <w:tcPr>
            <w:tcW w:w="800" w:type="dxa"/>
          </w:tcPr>
          <w:p w14:paraId="3AC6B366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212</w:t>
            </w:r>
          </w:p>
        </w:tc>
        <w:tc>
          <w:tcPr>
            <w:tcW w:w="1300" w:type="dxa"/>
          </w:tcPr>
          <w:p w14:paraId="73DD3368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82.7</w:t>
            </w:r>
          </w:p>
        </w:tc>
        <w:tc>
          <w:tcPr>
            <w:tcW w:w="1100" w:type="dxa"/>
          </w:tcPr>
          <w:p w14:paraId="080A1771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64.2%</w:t>
            </w:r>
          </w:p>
        </w:tc>
        <w:tc>
          <w:tcPr>
            <w:tcW w:w="1900" w:type="dxa"/>
          </w:tcPr>
          <w:p w14:paraId="06320ADE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1.56</w:t>
            </w:r>
          </w:p>
        </w:tc>
        <w:tc>
          <w:tcPr>
            <w:tcW w:w="1900" w:type="dxa"/>
          </w:tcPr>
          <w:p w14:paraId="48D79EB2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0.499</w:t>
            </w:r>
          </w:p>
        </w:tc>
      </w:tr>
      <w:tr w:rsidR="00316BC6" w14:paraId="6AF074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188D6B55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Geriatrician intervention</w:t>
            </w:r>
          </w:p>
        </w:tc>
        <w:tc>
          <w:tcPr>
            <w:tcW w:w="800" w:type="dxa"/>
          </w:tcPr>
          <w:p w14:paraId="045B5A99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205</w:t>
            </w:r>
          </w:p>
        </w:tc>
        <w:tc>
          <w:tcPr>
            <w:tcW w:w="1300" w:type="dxa"/>
          </w:tcPr>
          <w:p w14:paraId="3FAF5455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82.9</w:t>
            </w:r>
          </w:p>
        </w:tc>
        <w:tc>
          <w:tcPr>
            <w:tcW w:w="1100" w:type="dxa"/>
          </w:tcPr>
          <w:p w14:paraId="444315EC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60.0%</w:t>
            </w:r>
          </w:p>
        </w:tc>
        <w:tc>
          <w:tcPr>
            <w:tcW w:w="1900" w:type="dxa"/>
          </w:tcPr>
          <w:p w14:paraId="5CACDECB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1.55</w:t>
            </w:r>
          </w:p>
        </w:tc>
        <w:tc>
          <w:tcPr>
            <w:tcW w:w="1900" w:type="dxa"/>
          </w:tcPr>
          <w:p w14:paraId="6EEBE656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0.525</w:t>
            </w:r>
          </w:p>
        </w:tc>
      </w:tr>
    </w:tbl>
    <w:p w14:paraId="25A74F4E" w14:textId="77777777" w:rsidR="00316BC6" w:rsidRDefault="001422CC" w:rsidP="001422CC">
      <w:pPr>
        <w:spacing w:after="160"/>
        <w:jc w:val="both"/>
      </w:pPr>
      <w:r>
        <w:rPr>
          <w:i/>
          <w:iCs/>
          <w:color w:val="666666"/>
        </w:rPr>
        <w:t xml:space="preserve">Full </w:t>
      </w:r>
      <w:proofErr w:type="spellStart"/>
      <w:r>
        <w:rPr>
          <w:i/>
          <w:iCs/>
          <w:color w:val="666666"/>
        </w:rPr>
        <w:t>randomised</w:t>
      </w:r>
      <w:proofErr w:type="spellEnd"/>
      <w:r>
        <w:rPr>
          <w:i/>
          <w:iCs/>
          <w:color w:val="666666"/>
        </w:rPr>
        <w:t xml:space="preserve"> sample (n = 417). Arms are reasonably balanced on age and comorbidity; baseline EQ-5D utility is modestly higher in the intervention arm (0.525 vs 0.499), which is why an adjusted analysi</w:t>
      </w:r>
      <w:r>
        <w:rPr>
          <w:i/>
          <w:iCs/>
          <w:color w:val="666666"/>
        </w:rPr>
        <w:t>s is reported alongside the unadjusted one.</w:t>
      </w:r>
    </w:p>
    <w:p w14:paraId="1E9A176A" w14:textId="77777777" w:rsidR="00316BC6" w:rsidRDefault="001422CC" w:rsidP="001422CC">
      <w:pPr>
        <w:pStyle w:val="Heading1"/>
        <w:spacing w:before="300" w:after="150"/>
        <w:jc w:val="both"/>
      </w:pPr>
      <w:r>
        <w:t>4. Results</w:t>
      </w:r>
    </w:p>
    <w:p w14:paraId="1880FA34" w14:textId="77777777" w:rsidR="00316BC6" w:rsidRDefault="001422CC" w:rsidP="001422CC">
      <w:pPr>
        <w:pStyle w:val="Heading2"/>
        <w:spacing w:before="250" w:after="100"/>
        <w:jc w:val="both"/>
      </w:pPr>
      <w:r>
        <w:t>4.1 Cost and QALY summary (complete cases)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2600"/>
        <w:gridCol w:w="2660"/>
      </w:tblGrid>
      <w:tr w:rsidR="00316BC6" w14:paraId="4E2123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</w:tcPr>
          <w:p w14:paraId="270B5550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>Arm</w:t>
            </w:r>
          </w:p>
        </w:tc>
        <w:tc>
          <w:tcPr>
            <w:tcW w:w="900" w:type="dxa"/>
            <w:shd w:val="clear" w:color="auto" w:fill="1F3864"/>
          </w:tcPr>
          <w:p w14:paraId="78D4AF48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2600" w:type="dxa"/>
            <w:shd w:val="clear" w:color="auto" w:fill="1F3864"/>
          </w:tcPr>
          <w:p w14:paraId="12555977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>Mean total cost</w:t>
            </w:r>
          </w:p>
        </w:tc>
        <w:tc>
          <w:tcPr>
            <w:tcW w:w="2660" w:type="dxa"/>
            <w:shd w:val="clear" w:color="auto" w:fill="1F3864"/>
          </w:tcPr>
          <w:p w14:paraId="6F55EAE4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>Mean QALY (90 days)</w:t>
            </w:r>
          </w:p>
        </w:tc>
      </w:tr>
      <w:tr w:rsidR="00316BC6" w14:paraId="65E78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8620DE4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Usual care</w:t>
            </w:r>
          </w:p>
        </w:tc>
        <w:tc>
          <w:tcPr>
            <w:tcW w:w="900" w:type="dxa"/>
          </w:tcPr>
          <w:p w14:paraId="14BBDB91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127</w:t>
            </w:r>
          </w:p>
        </w:tc>
        <w:tc>
          <w:tcPr>
            <w:tcW w:w="2600" w:type="dxa"/>
          </w:tcPr>
          <w:p w14:paraId="05E30732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£3,755.57</w:t>
            </w:r>
          </w:p>
        </w:tc>
        <w:tc>
          <w:tcPr>
            <w:tcW w:w="2660" w:type="dxa"/>
          </w:tcPr>
          <w:p w14:paraId="7197C182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0.1149</w:t>
            </w:r>
          </w:p>
        </w:tc>
      </w:tr>
      <w:tr w:rsidR="00316BC6" w14:paraId="619029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E79A09B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Geriatrician intervention</w:t>
            </w:r>
          </w:p>
        </w:tc>
        <w:tc>
          <w:tcPr>
            <w:tcW w:w="900" w:type="dxa"/>
          </w:tcPr>
          <w:p w14:paraId="1B1347DB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127</w:t>
            </w:r>
          </w:p>
        </w:tc>
        <w:tc>
          <w:tcPr>
            <w:tcW w:w="2600" w:type="dxa"/>
          </w:tcPr>
          <w:p w14:paraId="4DB8659D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£5,149.00</w:t>
            </w:r>
          </w:p>
        </w:tc>
        <w:tc>
          <w:tcPr>
            <w:tcW w:w="2660" w:type="dxa"/>
          </w:tcPr>
          <w:p w14:paraId="361F15B2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0.1192</w:t>
            </w:r>
          </w:p>
        </w:tc>
      </w:tr>
    </w:tbl>
    <w:p w14:paraId="72930E2B" w14:textId="77777777" w:rsidR="00316BC6" w:rsidRDefault="001422CC" w:rsidP="001422CC">
      <w:pPr>
        <w:spacing w:after="160"/>
        <w:jc w:val="both"/>
      </w:pPr>
      <w:r>
        <w:rPr>
          <w:i/>
          <w:iCs/>
          <w:color w:val="666666"/>
        </w:rPr>
        <w:t xml:space="preserve">Only 254 of the 417 </w:t>
      </w:r>
      <w:proofErr w:type="spellStart"/>
      <w:r>
        <w:rPr>
          <w:i/>
          <w:iCs/>
          <w:color w:val="666666"/>
        </w:rPr>
        <w:t>randomised</w:t>
      </w:r>
      <w:proofErr w:type="spellEnd"/>
      <w:r>
        <w:rPr>
          <w:i/>
          <w:iCs/>
          <w:color w:val="666666"/>
        </w:rPr>
        <w:t xml:space="preserve"> patients (61%) had complete cost and QALY data and are included here — see Limitations (Section 5).</w:t>
      </w:r>
    </w:p>
    <w:p w14:paraId="0E938F52" w14:textId="77777777" w:rsidR="00316BC6" w:rsidRDefault="001422CC" w:rsidP="001422CC">
      <w:pPr>
        <w:pStyle w:val="Heading2"/>
        <w:spacing w:before="250" w:after="100"/>
        <w:jc w:val="both"/>
      </w:pPr>
      <w:r>
        <w:t>4.2 Incremental cost-effectiveness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1800"/>
        <w:gridCol w:w="2160"/>
      </w:tblGrid>
      <w:tr w:rsidR="00316BC6" w14:paraId="66ACA1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</w:tcPr>
          <w:p w14:paraId="4DEDEE77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>Analysis</w:t>
            </w:r>
          </w:p>
        </w:tc>
        <w:tc>
          <w:tcPr>
            <w:tcW w:w="1800" w:type="dxa"/>
            <w:shd w:val="clear" w:color="auto" w:fill="1F3864"/>
          </w:tcPr>
          <w:p w14:paraId="3BE2357B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>Incremental cost</w:t>
            </w:r>
          </w:p>
        </w:tc>
        <w:tc>
          <w:tcPr>
            <w:tcW w:w="1800" w:type="dxa"/>
            <w:shd w:val="clear" w:color="auto" w:fill="1F3864"/>
          </w:tcPr>
          <w:p w14:paraId="702A78E3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>Incremental QALY</w:t>
            </w:r>
          </w:p>
        </w:tc>
        <w:tc>
          <w:tcPr>
            <w:tcW w:w="2160" w:type="dxa"/>
            <w:shd w:val="clear" w:color="auto" w:fill="1F3864"/>
          </w:tcPr>
          <w:p w14:paraId="286C8810" w14:textId="77777777" w:rsidR="00316BC6" w:rsidRDefault="001422CC" w:rsidP="001422CC">
            <w:pPr>
              <w:jc w:val="both"/>
            </w:pPr>
            <w:r>
              <w:rPr>
                <w:b/>
                <w:bCs/>
                <w:color w:val="FFFFFF"/>
              </w:rPr>
              <w:t>ICER (£/QALY)</w:t>
            </w:r>
          </w:p>
        </w:tc>
      </w:tr>
      <w:tr w:rsidR="00316BC6" w14:paraId="4F45DA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7B70E35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lastRenderedPageBreak/>
              <w:t>Unadjusted (mean difference)</w:t>
            </w:r>
          </w:p>
        </w:tc>
        <w:tc>
          <w:tcPr>
            <w:tcW w:w="1800" w:type="dxa"/>
          </w:tcPr>
          <w:p w14:paraId="14A8BB2F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£1,393.43</w:t>
            </w:r>
          </w:p>
        </w:tc>
        <w:tc>
          <w:tcPr>
            <w:tcW w:w="1800" w:type="dxa"/>
          </w:tcPr>
          <w:p w14:paraId="2821A8D5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0.0042</w:t>
            </w:r>
          </w:p>
        </w:tc>
        <w:tc>
          <w:tcPr>
            <w:tcW w:w="2160" w:type="dxa"/>
          </w:tcPr>
          <w:p w14:paraId="2E56B40B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£328,856</w:t>
            </w:r>
          </w:p>
        </w:tc>
      </w:tr>
      <w:tr w:rsidR="00316BC6" w14:paraId="6BE93E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5DB0A94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Adjusted (regression, baseline utility)</w:t>
            </w:r>
          </w:p>
        </w:tc>
        <w:tc>
          <w:tcPr>
            <w:tcW w:w="1800" w:type="dxa"/>
          </w:tcPr>
          <w:p w14:paraId="7F31B990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£1,403.96</w:t>
            </w:r>
          </w:p>
        </w:tc>
        <w:tc>
          <w:tcPr>
            <w:tcW w:w="1800" w:type="dxa"/>
          </w:tcPr>
          <w:p w14:paraId="31A8B56F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0.0024</w:t>
            </w:r>
          </w:p>
        </w:tc>
        <w:tc>
          <w:tcPr>
            <w:tcW w:w="2160" w:type="dxa"/>
          </w:tcPr>
          <w:p w14:paraId="3045415C" w14:textId="77777777" w:rsidR="00316BC6" w:rsidRDefault="001422CC" w:rsidP="001422CC">
            <w:pPr>
              <w:jc w:val="both"/>
            </w:pPr>
            <w:r>
              <w:rPr>
                <w:color w:val="000000"/>
              </w:rPr>
              <w:t>£581,326</w:t>
            </w:r>
          </w:p>
        </w:tc>
      </w:tr>
    </w:tbl>
    <w:p w14:paraId="6E16BEBA" w14:textId="77777777" w:rsidR="00316BC6" w:rsidRDefault="001422CC" w:rsidP="001422CC">
      <w:pPr>
        <w:spacing w:after="120"/>
        <w:jc w:val="both"/>
      </w:pPr>
      <w:r>
        <w:t>In both the unadjusted and baseline-adjusted analyses, the geriatrician intervention costs more than usual care (~£1,390-1,400 per patient over 90 days) for a very small and imprecisely estimated QALY gain. The resulting ICERs (£329k-£581k per QALY) are fa</w:t>
      </w:r>
      <w:r>
        <w:t>r above conventional UK cost-effectiveness thresholds (£20,000-£30,000/QALY).</w:t>
      </w:r>
    </w:p>
    <w:p w14:paraId="799FC8D9" w14:textId="77777777" w:rsidR="00316BC6" w:rsidRDefault="001422CC" w:rsidP="001422CC">
      <w:pPr>
        <w:pStyle w:val="Heading2"/>
        <w:spacing w:before="250" w:after="100"/>
        <w:jc w:val="both"/>
      </w:pPr>
      <w:r>
        <w:t>4.3 Cost-effectiveness plane</w:t>
      </w:r>
    </w:p>
    <w:p w14:paraId="01E9209A" w14:textId="77777777" w:rsidR="00316BC6" w:rsidRDefault="001422CC" w:rsidP="001422CC">
      <w:pPr>
        <w:spacing w:before="100" w:after="100"/>
        <w:jc w:val="both"/>
      </w:pPr>
      <w:r>
        <w:rPr>
          <w:noProof/>
        </w:rPr>
        <w:drawing>
          <wp:inline distT="0" distB="0" distL="0" distR="0" wp14:anchorId="1F671A5D" wp14:editId="516B2F56">
            <wp:extent cx="5334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597B" w14:textId="77777777" w:rsidR="00316BC6" w:rsidRDefault="001422CC" w:rsidP="001422CC">
      <w:pPr>
        <w:spacing w:after="160"/>
        <w:jc w:val="both"/>
      </w:pPr>
      <w:r>
        <w:rPr>
          <w:i/>
          <w:iCs/>
          <w:color w:val="666666"/>
        </w:rPr>
        <w:t>2,000 bootstrap replicates (resampled within arm). Red point = base-case estimate. Nearly all replicates fall with incremental cost above £0, while</w:t>
      </w:r>
      <w:r>
        <w:rPr>
          <w:i/>
          <w:iCs/>
          <w:color w:val="666666"/>
        </w:rPr>
        <w:t xml:space="preserve"> incremental QALYs straddle zero — the intervention reliably costs more, with an uncertain, small QALY effect.</w:t>
      </w:r>
    </w:p>
    <w:p w14:paraId="4139C3F7" w14:textId="77777777" w:rsidR="00316BC6" w:rsidRDefault="001422CC" w:rsidP="001422CC">
      <w:pPr>
        <w:pStyle w:val="Heading2"/>
        <w:spacing w:before="250" w:after="100"/>
        <w:jc w:val="both"/>
      </w:pPr>
      <w:r>
        <w:t>4.4 Cost-effectiveness acceptability curve</w:t>
      </w:r>
    </w:p>
    <w:p w14:paraId="601FA402" w14:textId="77777777" w:rsidR="00316BC6" w:rsidRDefault="001422CC" w:rsidP="001422CC">
      <w:pPr>
        <w:spacing w:before="100" w:after="100"/>
        <w:jc w:val="both"/>
      </w:pPr>
      <w:r>
        <w:rPr>
          <w:noProof/>
        </w:rPr>
        <w:lastRenderedPageBreak/>
        <w:drawing>
          <wp:inline distT="0" distB="0" distL="0" distR="0" wp14:anchorId="1803D002" wp14:editId="654FA76E">
            <wp:extent cx="533400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D34B" w14:textId="77777777" w:rsidR="00316BC6" w:rsidRDefault="001422CC" w:rsidP="001422CC">
      <w:pPr>
        <w:spacing w:after="160"/>
        <w:jc w:val="both"/>
      </w:pPr>
      <w:r>
        <w:rPr>
          <w:i/>
          <w:iCs/>
          <w:color w:val="666666"/>
        </w:rPr>
        <w:t>Probability the intervention is cost-effective stays below ~6% across the entire £0-£50,000/QALY ran</w:t>
      </w:r>
      <w:r>
        <w:rPr>
          <w:i/>
          <w:iCs/>
          <w:color w:val="666666"/>
        </w:rPr>
        <w:t>ge — consistent with the ICERs in Section 4.2.</w:t>
      </w:r>
    </w:p>
    <w:p w14:paraId="172DB3AC" w14:textId="77777777" w:rsidR="00316BC6" w:rsidRDefault="001422CC" w:rsidP="001422CC">
      <w:pPr>
        <w:pStyle w:val="Heading1"/>
        <w:spacing w:before="300" w:after="150"/>
        <w:jc w:val="both"/>
      </w:pPr>
      <w:r>
        <w:t>5. Limitations</w:t>
      </w:r>
    </w:p>
    <w:p w14:paraId="4F5295A4" w14:textId="77777777" w:rsidR="00316BC6" w:rsidRDefault="001422CC" w:rsidP="001422CC">
      <w:pPr>
        <w:spacing w:after="120"/>
        <w:jc w:val="both"/>
      </w:pPr>
      <w:r>
        <w:t xml:space="preserve">• Sample size for the cost/QALY analysis (n = 254) is substantially smaller than the </w:t>
      </w:r>
      <w:proofErr w:type="spellStart"/>
      <w:r>
        <w:t>randomised</w:t>
      </w:r>
      <w:proofErr w:type="spellEnd"/>
      <w:r>
        <w:t xml:space="preserve"> sample (n = 417) due to complete-case handling of missing follow-up EQ-5D data. This is a material</w:t>
      </w:r>
      <w:r>
        <w:t xml:space="preserve"> limitation: multiple imputation would be the standard next step rather than complete-case analysis, and the dropped patients should be checked for systematic differences (</w:t>
      </w:r>
      <w:proofErr w:type="gramStart"/>
      <w:r>
        <w:t>e.g.</w:t>
      </w:r>
      <w:proofErr w:type="gramEnd"/>
      <w:r>
        <w:t xml:space="preserve"> frailty, mortality) that could bias the estimate.</w:t>
      </w:r>
    </w:p>
    <w:p w14:paraId="2E438B59" w14:textId="77777777" w:rsidR="00316BC6" w:rsidRDefault="001422CC" w:rsidP="001422CC">
      <w:pPr>
        <w:spacing w:after="120"/>
        <w:jc w:val="both"/>
      </w:pPr>
      <w:r>
        <w:t>• QALYs for patients who died</w:t>
      </w:r>
      <w:r>
        <w:t xml:space="preserve"> during follow-up assume a linear decline in utility from the baseline value to zero at date of death — a standard simplifying assumption, but one that was not varied in a sensitivity analysis here.</w:t>
      </w:r>
    </w:p>
    <w:p w14:paraId="704595D8" w14:textId="77777777" w:rsidR="00316BC6" w:rsidRDefault="001422CC" w:rsidP="001422CC">
      <w:pPr>
        <w:spacing w:after="120"/>
        <w:jc w:val="both"/>
      </w:pPr>
      <w:r>
        <w:t>• Costs are priced using the NHS National Schedule of Reference Costs 2011-12, matching the trial's HRG4-era codes; two HRG codes (affecting ~2.7% of inpatient episodes) could not be matched and are costed as £0.</w:t>
      </w:r>
    </w:p>
    <w:p w14:paraId="3892685E" w14:textId="77777777" w:rsidR="00316BC6" w:rsidRDefault="001422CC" w:rsidP="001422CC">
      <w:pPr>
        <w:spacing w:after="120"/>
        <w:jc w:val="both"/>
      </w:pPr>
      <w:r>
        <w:t>• The intervention hourly wage rate is appl</w:t>
      </w:r>
      <w:r>
        <w:t>ied as a single fixed value across all patients rather than using patient-level variation in delivery time and grade of staff.</w:t>
      </w:r>
    </w:p>
    <w:p w14:paraId="63BAC360" w14:textId="77777777" w:rsidR="00316BC6" w:rsidRDefault="001422CC" w:rsidP="001422CC">
      <w:pPr>
        <w:spacing w:after="120"/>
        <w:jc w:val="both"/>
      </w:pPr>
      <w:r>
        <w:t>• This analysis has not been adjusted for multiplicity, clustering, or other trial design features beyond a single baseline-utili</w:t>
      </w:r>
      <w:r>
        <w:t>ty covariate.</w:t>
      </w:r>
    </w:p>
    <w:p w14:paraId="0EE622EE" w14:textId="77777777" w:rsidR="00316BC6" w:rsidRDefault="001422CC" w:rsidP="001422CC">
      <w:pPr>
        <w:pStyle w:val="Heading1"/>
        <w:spacing w:before="300" w:after="150"/>
        <w:jc w:val="both"/>
      </w:pPr>
      <w:r>
        <w:t>6. Interpretation</w:t>
      </w:r>
    </w:p>
    <w:p w14:paraId="2DD6AAE7" w14:textId="77777777" w:rsidR="00316BC6" w:rsidRDefault="001422CC" w:rsidP="001422CC">
      <w:pPr>
        <w:spacing w:after="120"/>
        <w:jc w:val="both"/>
      </w:pPr>
      <w:r>
        <w:t>On this preliminary, complete-case analysis, geriatrician-led case management does not appear cost-effective relative to usual care at conventional UK thresholds over a 90-day horizon: it costs more with a QALY gain too smal</w:t>
      </w:r>
      <w:r>
        <w:t>l and uncertain to justify the additional expenditure. This should be treated as an exploratory finding pending the data-completeness and imputation work noted above, not a definitive replication of the original trial's economic evaluation.</w:t>
      </w:r>
    </w:p>
    <w:sectPr w:rsidR="00316B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4697E"/>
    <w:multiLevelType w:val="hybridMultilevel"/>
    <w:tmpl w:val="C456CC0E"/>
    <w:lvl w:ilvl="0" w:tplc="BB2AB510">
      <w:start w:val="1"/>
      <w:numFmt w:val="bullet"/>
      <w:lvlText w:val="●"/>
      <w:lvlJc w:val="left"/>
      <w:pPr>
        <w:ind w:left="720" w:hanging="360"/>
      </w:pPr>
    </w:lvl>
    <w:lvl w:ilvl="1" w:tplc="DDA8FDBE">
      <w:start w:val="1"/>
      <w:numFmt w:val="bullet"/>
      <w:lvlText w:val="○"/>
      <w:lvlJc w:val="left"/>
      <w:pPr>
        <w:ind w:left="1440" w:hanging="360"/>
      </w:pPr>
    </w:lvl>
    <w:lvl w:ilvl="2" w:tplc="094AD0EA">
      <w:start w:val="1"/>
      <w:numFmt w:val="bullet"/>
      <w:lvlText w:val="■"/>
      <w:lvlJc w:val="left"/>
      <w:pPr>
        <w:ind w:left="2160" w:hanging="360"/>
      </w:pPr>
    </w:lvl>
    <w:lvl w:ilvl="3" w:tplc="2FBED384">
      <w:start w:val="1"/>
      <w:numFmt w:val="bullet"/>
      <w:lvlText w:val="●"/>
      <w:lvlJc w:val="left"/>
      <w:pPr>
        <w:ind w:left="2880" w:hanging="360"/>
      </w:pPr>
    </w:lvl>
    <w:lvl w:ilvl="4" w:tplc="EC60B07C">
      <w:start w:val="1"/>
      <w:numFmt w:val="bullet"/>
      <w:lvlText w:val="○"/>
      <w:lvlJc w:val="left"/>
      <w:pPr>
        <w:ind w:left="3600" w:hanging="360"/>
      </w:pPr>
    </w:lvl>
    <w:lvl w:ilvl="5" w:tplc="F9E69ECE">
      <w:start w:val="1"/>
      <w:numFmt w:val="bullet"/>
      <w:lvlText w:val="■"/>
      <w:lvlJc w:val="left"/>
      <w:pPr>
        <w:ind w:left="4320" w:hanging="360"/>
      </w:pPr>
    </w:lvl>
    <w:lvl w:ilvl="6" w:tplc="D14A8706">
      <w:start w:val="1"/>
      <w:numFmt w:val="bullet"/>
      <w:lvlText w:val="●"/>
      <w:lvlJc w:val="left"/>
      <w:pPr>
        <w:ind w:left="5040" w:hanging="360"/>
      </w:pPr>
    </w:lvl>
    <w:lvl w:ilvl="7" w:tplc="96CA2E62">
      <w:start w:val="1"/>
      <w:numFmt w:val="bullet"/>
      <w:lvlText w:val="●"/>
      <w:lvlJc w:val="left"/>
      <w:pPr>
        <w:ind w:left="5760" w:hanging="360"/>
      </w:pPr>
    </w:lvl>
    <w:lvl w:ilvl="8" w:tplc="EB9C67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BC6"/>
    <w:rsid w:val="001422CC"/>
    <w:rsid w:val="0031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63CF"/>
  <w15:docId w15:val="{464080B8-033E-4C1A-AA64-083A33C2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asal niaraees</cp:lastModifiedBy>
  <cp:revision>2</cp:revision>
  <dcterms:created xsi:type="dcterms:W3CDTF">2026-08-28T15:28:00Z</dcterms:created>
  <dcterms:modified xsi:type="dcterms:W3CDTF">2026-08-28T15:28:00Z</dcterms:modified>
</cp:coreProperties>
</file>