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color w:val="1E3A8A"/>
          <w:sz w:val="26"/>
        </w:rPr>
        <w:t>DEPARTMENT OF COMPUTER SCIENCE AND ENGINEERING</w:t>
        <w:br/>
        <w:t>[INSTITUTION / UNIVERSITY NAME]</w:t>
      </w:r>
    </w:p>
    <w:p>
      <w:pPr>
        <w:spacing w:before="720" w:after="240"/>
        <w:jc w:val="center"/>
      </w:pPr>
      <w:r>
        <w:rPr>
          <w:rFonts w:ascii="Times New Roman" w:hAnsi="Times New Roman"/>
          <w:b/>
          <w:color w:val="475569"/>
          <w:sz w:val="24"/>
        </w:rPr>
        <w:t>A MAJOR PROJECT STAGE-I REPORT ON</w:t>
        <w:br/>
      </w:r>
    </w:p>
    <w:p>
      <w:pPr>
        <w:spacing w:before="160" w:after="240"/>
        <w:jc w:val="center"/>
      </w:pPr>
      <w:r>
        <w:rPr>
          <w:rFonts w:ascii="Times New Roman" w:hAnsi="Times New Roman"/>
          <w:b/>
          <w:color w:val="1E3A8A"/>
          <w:sz w:val="36"/>
        </w:rPr>
        <w:t>WORKUP: VIRTUAL PROFESSIONAL EXPERIENCE PLATFORM</w:t>
      </w:r>
    </w:p>
    <w:p>
      <w:pPr>
        <w:spacing w:before="80" w:after="720"/>
        <w:jc w:val="center"/>
      </w:pPr>
      <w:r>
        <w:rPr>
          <w:rFonts w:ascii="Times New Roman" w:hAnsi="Times New Roman"/>
          <w:i/>
          <w:color w:val="475569"/>
          <w:sz w:val="23"/>
        </w:rPr>
        <w:t>A Containerized Simulation Environment for Situated Software Engineering Education, Authentic Team Workflows, and Cryptographically Verifiable Skill Demonstration</w:t>
      </w:r>
    </w:p>
    <w:p>
      <w:pPr>
        <w:spacing w:before="320" w:after="720"/>
        <w:jc w:val="center"/>
      </w:pPr>
      <w:r>
        <w:rPr>
          <w:rFonts w:ascii="Times New Roman" w:hAnsi="Times New Roman"/>
          <w:b/>
          <w:sz w:val="22"/>
        </w:rPr>
        <w:t>Submitted in partial fulfillment of the requirements for the award of the degree of</w:t>
        <w:br/>
        <w:t>BACHELOR OF TECHNOLOGY</w:t>
        <w:br/>
        <w:t>in</w:t>
        <w:br/>
        <w:t>COMPUTER SCIENCE AND ENGINEERING</w:t>
      </w:r>
    </w:p>
    <w:tbl>
      <w:tblPr>
        <w:tblW w:type="auto" w:w="0"/>
        <w:jc w:val="center"/>
        <w:tblLook w:firstColumn="1" w:firstRow="1" w:lastColumn="0" w:lastRow="0" w:noHBand="0" w:noVBand="1" w:val="04A0"/>
      </w:tblPr>
      <w:tblGrid>
        <w:gridCol w:w="4464"/>
        <w:gridCol w:w="4464"/>
      </w:tblGrid>
      <w:tr>
        <w:tc>
          <w:tcPr>
            <w:tcW w:type="dxa" w:w="4514"/>
          </w:tcPr>
          <w:p>
            <w:pPr>
              <w:jc w:val="left"/>
            </w:pPr>
            <w:r>
              <w:rPr>
                <w:b/>
                <w:sz w:val="21"/>
              </w:rPr>
              <w:t>SUBMITTED BY:</w:t>
              <w:br/>
            </w:r>
            <w:r>
              <w:rPr>
                <w:sz w:val="22"/>
              </w:rPr>
              <w:t>[Student Name]</w:t>
              <w:br/>
              <w:t>Roll No: [Roll Number / USN]</w:t>
            </w:r>
          </w:p>
        </w:tc>
        <w:tc>
          <w:tcPr>
            <w:tcW w:type="dxa" w:w="4514"/>
          </w:tcPr>
          <w:p>
            <w:pPr>
              <w:jc w:val="right"/>
            </w:pPr>
            <w:r>
              <w:rPr>
                <w:b/>
                <w:sz w:val="21"/>
              </w:rPr>
              <w:t>UNDER THE GUIDANCE OF:</w:t>
              <w:br/>
            </w:r>
            <w:r>
              <w:rPr>
                <w:sz w:val="22"/>
              </w:rPr>
              <w:t>[Supervisor Name]</w:t>
              <w:br/>
              <w:t>[Supervisor Designation]</w:t>
              <w:br/>
              <w:t>Dept. of Computer Science &amp; Engineering</w:t>
            </w:r>
          </w:p>
        </w:tc>
      </w:tr>
      <w:tr>
        <w:tc>
          <w:tcPr>
            <w:tcW w:type="dxa" w:w="4514"/>
          </w:tcPr>
          <w:p/>
        </w:tc>
        <w:tc>
          <w:tcPr>
            <w:tcW w:type="dxa" w:w="4514"/>
          </w:tcPr>
          <w:p/>
        </w:tc>
      </w:tr>
    </w:tbl>
    <w:p>
      <w:pPr>
        <w:spacing w:before="800" w:after="0"/>
        <w:jc w:val="center"/>
      </w:pPr>
      <w:r>
        <w:rPr>
          <w:rFonts w:ascii="Times New Roman" w:hAnsi="Times New Roman"/>
          <w:b/>
          <w:color w:val="1E3A8A"/>
          <w:sz w:val="23"/>
        </w:rPr>
        <w:t>ACADEMIC YEAR 2026–2027</w:t>
      </w:r>
    </w:p>
    <w:p>
      <w:r>
        <w:br w:type="page"/>
      </w:r>
    </w:p>
    <w:p>
      <w:pPr>
        <w:keepNext/>
        <w:spacing w:before="320" w:after="280"/>
        <w:jc w:val="center"/>
      </w:pPr>
      <w:r>
        <w:rPr>
          <w:rFonts w:ascii="Times New Roman" w:hAnsi="Times New Roman"/>
          <w:b/>
          <w:color w:val="1E3A8A"/>
          <w:sz w:val="32"/>
        </w:rPr>
        <w:t>CERTIFICATE</w:t>
      </w:r>
    </w:p>
    <w:p>
      <w:pPr>
        <w:spacing w:line="360" w:lineRule="auto" w:after="120"/>
        <w:jc w:val="both"/>
      </w:pPr>
      <w:r>
        <w:rPr>
          <w:rFonts w:ascii="Times New Roman" w:hAnsi="Times New Roman"/>
          <w:sz w:val="24"/>
        </w:rPr>
        <w:t>This is to certify that the Major Project Stage-I Report entitled "WORKUP: Virtual Professional Experience Platform" is a bonafide record of technical work carried out by [Student Name] (Roll Number: [Roll Number / USN]), in partial fulfillment of the requirements for the award of the degree of Bachelor of Technology in Computer Science and Engineering from [Institution / University Name] during the academic year 2026–2027.</w:t>
      </w:r>
    </w:p>
    <w:p>
      <w:pPr>
        <w:spacing w:line="360" w:lineRule="auto" w:after="120"/>
        <w:jc w:val="both"/>
      </w:pPr>
      <w:r>
        <w:rPr>
          <w:rFonts w:ascii="Times New Roman" w:hAnsi="Times New Roman"/>
          <w:sz w:val="24"/>
        </w:rPr>
        <w:t>The results embodied in this report have been verified through actual codebase inspection, architectural modeling, and automated test execution. The work has not been submitted to any other University or Institution for the award of any degree or diploma.</w:t>
      </w:r>
    </w:p>
    <w:p>
      <w:pPr>
        <w:spacing w:before="1400" w:after="0"/>
      </w:pPr>
    </w:p>
    <w:tbl>
      <w:tblPr>
        <w:tblW w:type="auto" w:w="0"/>
        <w:jc w:val="center"/>
        <w:tblLook w:firstColumn="1" w:firstRow="1" w:lastColumn="0" w:lastRow="0" w:noHBand="0" w:noVBand="1" w:val="04A0"/>
      </w:tblPr>
      <w:tblGrid>
        <w:gridCol w:w="4464"/>
        <w:gridCol w:w="4464"/>
      </w:tblGrid>
      <w:tr>
        <w:tc>
          <w:tcPr>
            <w:tcW w:type="dxa" w:w="4514"/>
          </w:tcPr>
          <w:p>
            <w:pPr>
              <w:jc w:val="left"/>
            </w:pPr>
            <w:r>
              <w:rPr>
                <w:b/>
                <w:sz w:val="22"/>
              </w:rPr>
              <w:t>_______________________________</w:t>
              <w:br/>
              <w:t>[Supervisor Name]</w:t>
              <w:br/>
              <w:t>Internal Guide &amp; Supervisor</w:t>
              <w:br/>
              <w:t>Department of CSE</w:t>
            </w:r>
          </w:p>
        </w:tc>
        <w:tc>
          <w:tcPr>
            <w:tcW w:type="dxa" w:w="4514"/>
          </w:tcPr>
          <w:p>
            <w:pPr>
              <w:jc w:val="right"/>
            </w:pPr>
            <w:r>
              <w:rPr>
                <w:b/>
                <w:sz w:val="22"/>
              </w:rPr>
              <w:t>_______________________________</w:t>
              <w:br/>
              <w:t>[Head of Department Name]</w:t>
              <w:br/>
              <w:t>Head of Department</w:t>
              <w:br/>
              <w:t>Department of CSE</w:t>
            </w:r>
          </w:p>
        </w:tc>
      </w:tr>
    </w:tbl>
    <w:p>
      <w:r>
        <w:br w:type="page"/>
      </w:r>
    </w:p>
    <w:p>
      <w:pPr>
        <w:keepNext/>
        <w:spacing w:before="320" w:after="280"/>
        <w:jc w:val="center"/>
      </w:pPr>
      <w:r>
        <w:rPr>
          <w:rFonts w:ascii="Times New Roman" w:hAnsi="Times New Roman"/>
          <w:b/>
          <w:color w:val="1E3A8A"/>
          <w:sz w:val="32"/>
        </w:rPr>
        <w:t>CANDIDATE DECLARATION</w:t>
      </w:r>
    </w:p>
    <w:p>
      <w:pPr>
        <w:spacing w:line="360" w:lineRule="auto" w:after="120"/>
        <w:jc w:val="both"/>
      </w:pPr>
      <w:r>
        <w:rPr>
          <w:rFonts w:ascii="Times New Roman" w:hAnsi="Times New Roman"/>
          <w:sz w:val="24"/>
        </w:rPr>
        <w:t>I, [Student Name], student of Bachelor of Technology in the Department of Computer Science and Engineering at [Institution / University Name], hereby declare that the work presented in this Major Project Stage-I Report entitled "WORKUP: Virtual Professional Experience Platform" is an authentic record of our own research, system design, architectural modeling, and prototype implementation.</w:t>
      </w:r>
    </w:p>
    <w:p>
      <w:pPr>
        <w:spacing w:line="360" w:lineRule="auto" w:after="120"/>
        <w:jc w:val="both"/>
      </w:pPr>
      <w:r>
        <w:rPr>
          <w:rFonts w:ascii="Times New Roman" w:hAnsi="Times New Roman"/>
          <w:sz w:val="24"/>
        </w:rPr>
        <w:t>I confirm that the facts, database models, testing results, and system flows described in this report strictly reflect the verified source code repository and original architectural specifications. I have adhered to all academic integrity guidelines and have fully cited all external literature, tools, and platforms consulted.</w:t>
      </w:r>
    </w:p>
    <w:p>
      <w:pPr>
        <w:spacing w:before="1200" w:after="0"/>
        <w:jc w:val="right"/>
      </w:pPr>
      <w:r>
        <w:rPr>
          <w:b/>
          <w:sz w:val="22"/>
        </w:rPr>
        <w:t>_______________________________</w:t>
        <w:br/>
        <w:t>[Student Name]</w:t>
        <w:br/>
        <w:t>Roll No: [Roll Number / USN]</w:t>
        <w:br/>
        <w:t>B.Tech (CSE), Final Year</w:t>
      </w:r>
    </w:p>
    <w:p>
      <w:r>
        <w:br w:type="page"/>
      </w:r>
    </w:p>
    <w:p>
      <w:pPr>
        <w:keepNext/>
        <w:spacing w:before="320" w:after="280"/>
        <w:jc w:val="center"/>
      </w:pPr>
      <w:r>
        <w:rPr>
          <w:rFonts w:ascii="Times New Roman" w:hAnsi="Times New Roman"/>
          <w:b/>
          <w:color w:val="1E3A8A"/>
          <w:sz w:val="32"/>
        </w:rPr>
        <w:t>ACKNOWLEDGEMENTS</w:t>
      </w:r>
    </w:p>
    <w:p>
      <w:pPr>
        <w:spacing w:line="360" w:lineRule="auto" w:after="120"/>
        <w:jc w:val="both"/>
      </w:pPr>
      <w:r>
        <w:rPr>
          <w:rFonts w:ascii="Times New Roman" w:hAnsi="Times New Roman"/>
          <w:sz w:val="24"/>
        </w:rPr>
        <w:t>I express my profound gratitude and indebtedness to my project guide and supervisor, [Supervisor Name], for their invaluable guidance, constant motivation, insightful suggestions, and technical critiques throughout the formulation, architecture design, and initial implementation phases of this Major Project.</w:t>
      </w:r>
    </w:p>
    <w:p>
      <w:pPr>
        <w:spacing w:line="360" w:lineRule="auto" w:after="120"/>
        <w:jc w:val="both"/>
      </w:pPr>
      <w:r>
        <w:rPr>
          <w:rFonts w:ascii="Times New Roman" w:hAnsi="Times New Roman"/>
          <w:sz w:val="24"/>
        </w:rPr>
        <w:t>I extend my sincere thanks to [Head of Department Name], Head of the Department of Computer Science and Engineering, for providing the necessary computing facilities, laboratory resources, and academic environment conducive to advanced technical research.</w:t>
      </w:r>
    </w:p>
    <w:p>
      <w:pPr>
        <w:spacing w:line="360" w:lineRule="auto" w:after="120"/>
        <w:jc w:val="both"/>
      </w:pPr>
      <w:r>
        <w:rPr>
          <w:rFonts w:ascii="Times New Roman" w:hAnsi="Times New Roman"/>
          <w:sz w:val="24"/>
        </w:rPr>
        <w:t>I also convey my deep appreciation to all faculty members, technical staff, and project coordinators of the Department of Computer Science and Engineering for their continuous encouragement, timely reviews, and constructive feedback during departmental project evaluations.</w:t>
      </w:r>
    </w:p>
    <w:p>
      <w:pPr>
        <w:spacing w:line="360" w:lineRule="auto" w:after="120"/>
        <w:jc w:val="both"/>
      </w:pPr>
      <w:r>
        <w:rPr>
          <w:rFonts w:ascii="Times New Roman" w:hAnsi="Times New Roman"/>
          <w:sz w:val="24"/>
        </w:rPr>
        <w:t>Finally, I am profoundly grateful to my family and peers for their unfailing encouragement, patience, and support throughout the course of this engineering endeavor.</w:t>
      </w:r>
    </w:p>
    <w:p>
      <w:r>
        <w:br w:type="page"/>
      </w:r>
    </w:p>
    <w:p>
      <w:pPr>
        <w:keepNext/>
        <w:spacing w:before="320" w:after="280"/>
        <w:jc w:val="center"/>
      </w:pPr>
      <w:r>
        <w:rPr>
          <w:rFonts w:ascii="Times New Roman" w:hAnsi="Times New Roman"/>
          <w:b/>
          <w:color w:val="1E3A8A"/>
          <w:sz w:val="32"/>
        </w:rPr>
        <w:t>ABSTRACT</w:t>
      </w:r>
    </w:p>
    <w:p>
      <w:pPr>
        <w:spacing w:line="360" w:lineRule="auto" w:after="120"/>
        <w:jc w:val="both"/>
      </w:pPr>
      <w:r>
        <w:rPr>
          <w:rFonts w:ascii="Times New Roman" w:hAnsi="Times New Roman"/>
          <w:sz w:val="24"/>
        </w:rPr>
        <w:t>A pronounced gap currently exists between theoretical computer science education and practical corporate software engineering. While conventional learning platforms (such as MOOCs and competitive programming websites) successfully convey isolated algorithmic concepts and syntax, they leave learners ill-prepared for corporate engineering realities. Newly graduated engineers frequently struggle when confronted with pre-existing multi-file legacy repositories, Architecture Decision Records (ADRs), non-trivial technical debt, multi-stage CI/CD pipelines, line-level pull request (PR) reviews, and live production telemetry alerts.</w:t>
      </w:r>
    </w:p>
    <w:p>
      <w:pPr>
        <w:spacing w:line="360" w:lineRule="auto" w:after="120"/>
        <w:jc w:val="both"/>
      </w:pPr>
      <w:r>
        <w:rPr>
          <w:rFonts w:ascii="Times New Roman" w:hAnsi="Times New Roman"/>
          <w:sz w:val="24"/>
        </w:rPr>
        <w:t>To overcome these systemic shortcomings, this project introduces WORKUP — a production-grade Virtual Professional Experience Platform. Grounded in David Kolb's Experiential Learning Theory and Situated Cognition, WORKUP transitions students from passive content consumers to active practicing engineers inside simulated corporate workplaces. Instead of solving toy programming problems, learners select engineering career tracks (spanning Software Engineering, MLOps, Cloud/DevOps, and Cybersecurity), assume specialized roles, and enter simulated tech enterprises (e.g., FinFlow Technologies, OmniRetail). They receive structured business problem tickets, open containerized cloud workspaces, inspect legacy codebases, implement features adhering to architectural constraints, execute automated test harnesses, submit pull requests, and receive automated, line-anchored feedback from an AI Tech Lead reviewer.</w:t>
      </w:r>
    </w:p>
    <w:p>
      <w:pPr>
        <w:spacing w:line="360" w:lineRule="auto" w:after="120"/>
        <w:jc w:val="both"/>
      </w:pPr>
      <w:r>
        <w:rPr>
          <w:rFonts w:ascii="Times New Roman" w:hAnsi="Times New Roman"/>
          <w:sz w:val="24"/>
        </w:rPr>
        <w:t>In this Major Project Stage-I phase, the platform's foundational architecture has been researched, designed, implemented, and empirically validated. The system is built upon Next.js 14 (App Router), React 18, TypeScript, Tailwind CSS, Prisma ORM with a 21-entity relational domain schema, bcryptjs/jose authentication, a 4-tier Role-Based Access Control (RBAC) matrix, a Directed Acyclic Graph (DAG) task engine, and an isolated sandbox execution orchestrator. An automated test suite powered by Vitest achieves a 100% pass rate across 34 tests in 8 suites, validating process jailing, multi-tenant isolation, and schema integrity. WORKUP culminates in an immutable, cryptographically verifiable Evidence-of-Skill Dossier backed by real Git commits, providing recruiters and academic evaluators with tamper-evident proof of practical competence.</w:t>
      </w:r>
    </w:p>
    <w:p>
      <w:r>
        <w:br w:type="page"/>
      </w:r>
    </w:p>
    <w:p>
      <w:pPr>
        <w:keepNext/>
        <w:spacing w:before="320" w:after="280"/>
        <w:jc w:val="center"/>
      </w:pPr>
      <w:r>
        <w:rPr>
          <w:rFonts w:ascii="Times New Roman" w:hAnsi="Times New Roman"/>
          <w:b/>
          <w:color w:val="1E3A8A"/>
          <w:sz w:val="32"/>
        </w:rPr>
        <w:t>TABLE OF CONTENTS</w:t>
      </w:r>
    </w:p>
    <w:tbl>
      <w:tblPr>
        <w:tblW w:type="auto" w:w="0"/>
        <w:jc w:val="center"/>
        <w:tblLook w:firstColumn="1" w:firstRow="1" w:lastColumn="0" w:lastRow="0" w:noHBand="0" w:noVBand="1" w:val="04A0"/>
        <w:tblBorders>
          <w:top w:val="single" w:sz="2" w:space="0" w:color="e2e8f0"/>
          <w:bottom w:val="single" w:sz="2" w:space="0" w:color="e2e8f0"/>
          <w:left w:val="none"/>
          <w:right w:val="none"/>
          <w:insideH w:val="single" w:sz="2" w:space="0" w:color="e2e8f0"/>
          <w:insideV w:val="none"/>
        </w:tblBorders>
      </w:tblPr>
      <w:tblGrid>
        <w:gridCol w:w="7776"/>
        <w:gridCol w:w="1253"/>
      </w:tblGrid>
      <w:tr>
        <w:tc>
          <w:tcPr>
            <w:tcW w:type="dxa" w:w="4514"/>
            <w:tcMar>
              <w:top w:w="40" w:type="dxa"/>
              <w:bottom w:w="40" w:type="dxa"/>
              <w:left w:w="60" w:type="dxa"/>
              <w:right w:w="60" w:type="dxa"/>
            </w:tcMar>
          </w:tcPr>
          <w:p>
            <w:pPr>
              <w:spacing w:line="276" w:lineRule="auto" w:after="0"/>
            </w:pPr>
            <w:r>
              <w:rPr>
                <w:rFonts w:ascii="Times New Roman" w:hAnsi="Times New Roman"/>
                <w:sz w:val="20"/>
              </w:rPr>
              <w:t>Certificate</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ii</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Candidate Declaration</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iii</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Acknowledgements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iv</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Abstract</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v</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Table of Contents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vi</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List of Figures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ix</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List of Tables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x</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List of Abbreviations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xi</w:t>
            </w:r>
          </w:p>
        </w:tc>
      </w:tr>
      <w:tr>
        <w:tc>
          <w:tcPr>
            <w:tcW w:type="dxa" w:w="4514"/>
            <w:tcMar>
              <w:top w:w="40" w:type="dxa"/>
              <w:bottom w:w="40" w:type="dxa"/>
              <w:left w:w="60" w:type="dxa"/>
              <w:right w:w="60" w:type="dxa"/>
            </w:tcMar>
          </w:tcPr>
          <w:p>
            <w:pPr>
              <w:spacing w:line="276" w:lineRule="auto" w:after="0"/>
            </w:pPr>
            <w:r>
              <w:rPr>
                <w:rFonts w:ascii="Times New Roman" w:hAnsi="Times New Roman"/>
                <w:b/>
                <w:color w:val="1E3A8A"/>
                <w:sz w:val="20"/>
              </w:rPr>
              <w:t>CHAPTER 1: INTRODUCTION</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13</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1.1 Background and Motivation</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13</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1.2 Project Overview: WORKUP Platform</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14</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1.3 Problem Formulation and Problem Statement</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14</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1.4 Objectives of the Project</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15</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1.5 Scope of the Project</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16</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1.6 Existing Systems and Approaches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17</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1.7 Limitations of Existing Approaches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17</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1.8 Proposed WORKUP System and Key Innovations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18</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1.9 Expected Benefits and Pedagogical Impact</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18</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1.10 Feasibility, Assumptions, and Technical Constraints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19</w:t>
            </w:r>
          </w:p>
        </w:tc>
      </w:tr>
      <w:tr>
        <w:tc>
          <w:tcPr>
            <w:tcW w:type="dxa" w:w="4514"/>
            <w:tcMar>
              <w:top w:w="40" w:type="dxa"/>
              <w:bottom w:w="40" w:type="dxa"/>
              <w:left w:w="60" w:type="dxa"/>
              <w:right w:w="60" w:type="dxa"/>
            </w:tcMar>
          </w:tcPr>
          <w:p>
            <w:pPr>
              <w:spacing w:line="276" w:lineRule="auto" w:after="0"/>
            </w:pPr>
            <w:r>
              <w:rPr>
                <w:rFonts w:ascii="Times New Roman" w:hAnsi="Times New Roman"/>
                <w:b/>
                <w:color w:val="1E3A8A"/>
                <w:sz w:val="20"/>
              </w:rPr>
              <w:t>CHAPTER 2: LITERATURE SURVEY</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20</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2.1 Introduction to the Research Domain</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20</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2.2 Review of Relevant Academic Research Papers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20</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2.3 Review of Existing Commercial and Industrial Platforms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23</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2.4 Comprehensive Comparative Analysis Matrix</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24</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2.5 Identified Research and Architectural Gaps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24</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2.6 System Justification and Formulation</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25</w:t>
            </w:r>
          </w:p>
        </w:tc>
      </w:tr>
      <w:tr>
        <w:tc>
          <w:tcPr>
            <w:tcW w:type="dxa" w:w="4514"/>
            <w:tcMar>
              <w:top w:w="40" w:type="dxa"/>
              <w:bottom w:w="40" w:type="dxa"/>
              <w:left w:w="60" w:type="dxa"/>
              <w:right w:w="60" w:type="dxa"/>
            </w:tcMar>
          </w:tcPr>
          <w:p>
            <w:pPr>
              <w:spacing w:line="276" w:lineRule="auto" w:after="0"/>
            </w:pPr>
            <w:r>
              <w:rPr>
                <w:rFonts w:ascii="Times New Roman" w:hAnsi="Times New Roman"/>
                <w:b/>
                <w:color w:val="1E3A8A"/>
                <w:sz w:val="20"/>
              </w:rPr>
              <w:t>CHAPTER 3: REQUIREMENTS AND METHODOLOGY</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26</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3.1 System Overview</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26</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3.2 Target Users and Role Personas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26</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3.3 Functional Requirements Specification (FR-01 to FR-12)</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27</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3.4 Non-Functional Requirements Specification (NFR-01 to NFR-08)</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28</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3.5 Hardware and Software Specifications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29</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3.6 Technology Stack and Justification</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30</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3.7 Software Development Methodology (Iterative Agile)</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31</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3.8 Main Operational Workflows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31</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3.9 Data Management, Privacy, and Security Controls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32</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3.10 Feasibility Analysis and Technical Constraints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32</w:t>
            </w:r>
          </w:p>
        </w:tc>
      </w:tr>
      <w:tr>
        <w:tc>
          <w:tcPr>
            <w:tcW w:type="dxa" w:w="4514"/>
            <w:tcMar>
              <w:top w:w="40" w:type="dxa"/>
              <w:bottom w:w="40" w:type="dxa"/>
              <w:left w:w="60" w:type="dxa"/>
              <w:right w:w="60" w:type="dxa"/>
            </w:tcMar>
          </w:tcPr>
          <w:p>
            <w:pPr>
              <w:spacing w:line="276" w:lineRule="auto" w:after="0"/>
            </w:pPr>
            <w:r>
              <w:rPr>
                <w:rFonts w:ascii="Times New Roman" w:hAnsi="Times New Roman"/>
                <w:b/>
                <w:color w:val="1E3A8A"/>
                <w:sz w:val="20"/>
              </w:rPr>
              <w:t>CHAPTER 4: SYSTEM DESIGN AND UML MODELING</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33</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4.1 System Architecture &amp; Tiered Topology</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33</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4.2 Use Case Modeling</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34</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4.3 Activity Modeling</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36</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4.4 Sequence Modeling (Task Submission &amp; Review)</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37</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4.5 Class and Domain Object Modeling</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38</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4.6 Entity-Relationship (ER) Modeling</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40</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4.7 Component Modeling</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40</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4.8 Deployment Modeling</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41</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4.9 Universal Professional Lifecycle Pipeline</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42</w:t>
            </w:r>
          </w:p>
        </w:tc>
      </w:tr>
      <w:tr>
        <w:tc>
          <w:tcPr>
            <w:tcW w:type="dxa" w:w="4514"/>
            <w:tcMar>
              <w:top w:w="40" w:type="dxa"/>
              <w:bottom w:w="40" w:type="dxa"/>
              <w:left w:w="60" w:type="dxa"/>
              <w:right w:w="60" w:type="dxa"/>
            </w:tcMar>
          </w:tcPr>
          <w:p>
            <w:pPr>
              <w:spacing w:line="276" w:lineRule="auto" w:after="0"/>
            </w:pPr>
            <w:r>
              <w:rPr>
                <w:rFonts w:ascii="Times New Roman" w:hAnsi="Times New Roman"/>
                <w:b/>
                <w:color w:val="1E3A8A"/>
                <w:sz w:val="20"/>
              </w:rPr>
              <w:t>CHAPTER 5: MODULES AND FUNCTIONAL DESCRIPTION</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44</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5.1 Authentication, Session Management, and RBAC Module</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44</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5.2 Career, Profession, and Role Explorer Module</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44</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5.3 Simulated Enterprise Companies, Teams, and Projects Module</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44</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5.4 Simulation Content Engine, Task Backlog, and DAG Module</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45</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5.5 Student Workstation, Workbench UI, and Profile Module</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45</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5.6 Cloud Workspace Orchestration and Sandbox Provider Module</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45</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5.7 Task Implementation, In-Sandbox Test Execution &amp; Snapshot</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46</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5.8 Multi-Tier Evaluation, Rubrics &amp; AI Tech Lead Reviewer</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46</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5.9 Cryptographically Verifiable Portfolio &amp; Evidence-of-Skill</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46</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5.10 Content Authoring Studio and Administrative Governance</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46</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5.11 Platform Auditing, Telemetry, and Fleet Monitoring</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47</w:t>
            </w:r>
          </w:p>
        </w:tc>
      </w:tr>
      <w:tr>
        <w:tc>
          <w:tcPr>
            <w:tcW w:type="dxa" w:w="4514"/>
            <w:tcMar>
              <w:top w:w="40" w:type="dxa"/>
              <w:bottom w:w="40" w:type="dxa"/>
              <w:left w:w="60" w:type="dxa"/>
              <w:right w:w="60" w:type="dxa"/>
            </w:tcMar>
          </w:tcPr>
          <w:p>
            <w:pPr>
              <w:spacing w:line="276" w:lineRule="auto" w:after="0"/>
            </w:pPr>
            <w:r>
              <w:rPr>
                <w:rFonts w:ascii="Times New Roman" w:hAnsi="Times New Roman"/>
                <w:b/>
                <w:color w:val="1E3A8A"/>
                <w:sz w:val="20"/>
              </w:rPr>
              <w:t>CHAPTER 6: IMPLEMENTATION PLAN AND EXPECTED OUTCOMES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48</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6.1 Current Implementation Status (Verified Codebase Facts)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48</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6.2 Phased Milestone Roadmap (Phases 0 through 12)</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48</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6.3 Testing and Validation Approach (Vitest Empirical Results)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49</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6.4 Expected Quantitative and Qualitative Outcomes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50</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6.5 Risk Management, Threat Modeling, and Mitigation</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51</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6.6 Current System Limitations and Technical Debt</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52</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6.7 Proposed Stage-II Enhancements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52</w:t>
            </w:r>
          </w:p>
        </w:tc>
      </w:tr>
      <w:tr>
        <w:tc>
          <w:tcPr>
            <w:tcW w:type="dxa" w:w="4514"/>
            <w:tcMar>
              <w:top w:w="40" w:type="dxa"/>
              <w:bottom w:w="40" w:type="dxa"/>
              <w:left w:w="60" w:type="dxa"/>
              <w:right w:w="60" w:type="dxa"/>
            </w:tcMar>
          </w:tcPr>
          <w:p>
            <w:pPr>
              <w:spacing w:line="276" w:lineRule="auto" w:after="0"/>
            </w:pPr>
            <w:r>
              <w:rPr>
                <w:rFonts w:ascii="Times New Roman" w:hAnsi="Times New Roman"/>
                <w:b/>
                <w:color w:val="1E3A8A"/>
                <w:sz w:val="20"/>
              </w:rPr>
              <w:t>CONCLUSION AND FUTURE WORK</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53</w:t>
            </w:r>
          </w:p>
        </w:tc>
      </w:tr>
      <w:tr>
        <w:tc>
          <w:tcPr>
            <w:tcW w:type="dxa" w:w="4514"/>
            <w:tcMar>
              <w:top w:w="40" w:type="dxa"/>
              <w:bottom w:w="40" w:type="dxa"/>
              <w:left w:w="60" w:type="dxa"/>
              <w:right w:w="60" w:type="dxa"/>
            </w:tcMar>
          </w:tcPr>
          <w:p>
            <w:pPr>
              <w:spacing w:line="276" w:lineRule="auto" w:after="0"/>
            </w:pPr>
            <w:r>
              <w:rPr>
                <w:rFonts w:ascii="Times New Roman" w:hAnsi="Times New Roman"/>
                <w:b/>
                <w:color w:val="1E3A8A"/>
                <w:sz w:val="20"/>
              </w:rPr>
              <w:t>REFERENCES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54</w:t>
            </w:r>
          </w:p>
        </w:tc>
      </w:tr>
      <w:tr>
        <w:tc>
          <w:tcPr>
            <w:tcW w:type="dxa" w:w="4514"/>
            <w:tcMar>
              <w:top w:w="40" w:type="dxa"/>
              <w:bottom w:w="40" w:type="dxa"/>
              <w:left w:w="60" w:type="dxa"/>
              <w:right w:w="60" w:type="dxa"/>
            </w:tcMar>
          </w:tcPr>
          <w:p>
            <w:pPr>
              <w:spacing w:line="276" w:lineRule="auto" w:after="0"/>
            </w:pPr>
            <w:r>
              <w:rPr>
                <w:rFonts w:ascii="Times New Roman" w:hAnsi="Times New Roman"/>
                <w:b/>
                <w:color w:val="1E3A8A"/>
                <w:sz w:val="20"/>
              </w:rPr>
              <w:t>APPENDICES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56</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Appendix A: Complete Database Schema Data Dictionary</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56</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Appendix B: Core RESTful API Endpoint Specifications</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57</w:t>
            </w:r>
          </w:p>
        </w:tc>
      </w:tr>
      <w:tr>
        <w:tc>
          <w:tcPr>
            <w:tcW w:type="dxa" w:w="4514"/>
            <w:tcMar>
              <w:top w:w="40" w:type="dxa"/>
              <w:bottom w:w="40" w:type="dxa"/>
              <w:left w:w="60" w:type="dxa"/>
              <w:right w:w="60" w:type="dxa"/>
            </w:tcMar>
          </w:tcPr>
          <w:p>
            <w:pPr>
              <w:spacing w:line="276" w:lineRule="auto" w:after="0"/>
            </w:pPr>
            <w:r>
              <w:rPr>
                <w:rFonts w:ascii="Times New Roman" w:hAnsi="Times New Roman"/>
                <w:sz w:val="20"/>
              </w:rPr>
              <w:t xml:space="preserve">  Appendix C: Sample Architectural Decision Record (ADR-001)</w:t>
            </w:r>
          </w:p>
        </w:tc>
        <w:tc>
          <w:tcPr>
            <w:tcW w:type="dxa" w:w="4514"/>
            <w:tcMar>
              <w:top w:w="40" w:type="dxa"/>
              <w:bottom w:w="40" w:type="dxa"/>
              <w:left w:w="60" w:type="dxa"/>
              <w:right w:w="60" w:type="dxa"/>
            </w:tcMar>
          </w:tcPr>
          <w:p>
            <w:pPr>
              <w:spacing w:line="276" w:lineRule="auto" w:after="0"/>
              <w:jc w:val="right"/>
            </w:pPr>
            <w:r>
              <w:rPr>
                <w:rFonts w:ascii="Times New Roman" w:hAnsi="Times New Roman"/>
                <w:color w:val="475569"/>
                <w:sz w:val="19"/>
              </w:rPr>
              <w:t>57</w:t>
            </w:r>
          </w:p>
        </w:tc>
      </w:tr>
    </w:tbl>
    <w:p>
      <w:r>
        <w:br w:type="page"/>
      </w:r>
    </w:p>
    <w:p>
      <w:pPr>
        <w:keepNext/>
        <w:spacing w:before="320" w:after="280"/>
        <w:jc w:val="center"/>
      </w:pPr>
      <w:r>
        <w:rPr>
          <w:rFonts w:ascii="Times New Roman" w:hAnsi="Times New Roman"/>
          <w:b/>
          <w:color w:val="1E3A8A"/>
          <w:sz w:val="32"/>
        </w:rPr>
        <w:t>LIST OF FIGURES</w:t>
      </w:r>
    </w:p>
    <w:tbl>
      <w:tblPr>
        <w:tblW w:type="auto" w:w="0"/>
        <w:jc w:val="center"/>
        <w:tblLook w:firstColumn="1" w:firstRow="1" w:lastColumn="0" w:lastRow="0" w:noHBand="0" w:noVBand="1" w:val="04A0"/>
        <w:tblBorders>
          <w:top w:val="single" w:sz="2" w:space="0" w:color="e2e8f0"/>
          <w:bottom w:val="single" w:sz="2" w:space="0" w:color="e2e8f0"/>
          <w:left w:val="none"/>
          <w:right w:val="none"/>
          <w:insideH w:val="single" w:sz="2" w:space="0" w:color="e2e8f0"/>
          <w:insideV w:val="none"/>
        </w:tblBorders>
      </w:tblPr>
      <w:tblGrid>
        <w:gridCol w:w="1872"/>
        <w:gridCol w:w="6048"/>
        <w:gridCol w:w="1109"/>
      </w:tblGrid>
      <w:tr>
        <w:tc>
          <w:tcPr>
            <w:tcW w:type="dxa" w:w="3010"/>
            <w:tcMar>
              <w:top w:w="50" w:type="dxa"/>
              <w:bottom w:w="50" w:type="dxa"/>
              <w:left w:w="60" w:type="dxa"/>
              <w:right w:w="60" w:type="dxa"/>
            </w:tcMar>
          </w:tcPr>
          <w:p>
            <w:pPr>
              <w:spacing w:after="0"/>
            </w:pPr>
            <w:r>
              <w:rPr>
                <w:b/>
                <w:color w:val="1E3A8A"/>
                <w:sz w:val="20"/>
              </w:rPr>
              <w:t>Figure 4.1</w:t>
            </w:r>
          </w:p>
        </w:tc>
        <w:tc>
          <w:tcPr>
            <w:tcW w:type="dxa" w:w="3010"/>
            <w:tcMar>
              <w:top w:w="50" w:type="dxa"/>
              <w:bottom w:w="50" w:type="dxa"/>
              <w:left w:w="60" w:type="dxa"/>
              <w:right w:w="60" w:type="dxa"/>
            </w:tcMar>
          </w:tcPr>
          <w:p>
            <w:pPr>
              <w:spacing w:after="0"/>
            </w:pPr>
            <w:r>
              <w:rPr>
                <w:sz w:val="20"/>
              </w:rPr>
              <w:t>WORKUP Tiered System Architecture Diagram (Client, API, Services, Execution, Storage)</w:t>
            </w:r>
          </w:p>
        </w:tc>
        <w:tc>
          <w:tcPr>
            <w:tcW w:type="dxa" w:w="3010"/>
            <w:tcMar>
              <w:top w:w="50" w:type="dxa"/>
              <w:bottom w:w="50" w:type="dxa"/>
              <w:left w:w="60" w:type="dxa"/>
              <w:right w:w="60" w:type="dxa"/>
            </w:tcMar>
          </w:tcPr>
          <w:p>
            <w:pPr>
              <w:spacing w:after="0"/>
              <w:jc w:val="right"/>
            </w:pPr>
            <w:r>
              <w:rPr>
                <w:color w:val="475569"/>
                <w:sz w:val="19"/>
              </w:rPr>
              <w:t>33</w:t>
            </w:r>
          </w:p>
        </w:tc>
      </w:tr>
      <w:tr>
        <w:tc>
          <w:tcPr>
            <w:tcW w:type="dxa" w:w="3010"/>
            <w:tcMar>
              <w:top w:w="50" w:type="dxa"/>
              <w:bottom w:w="50" w:type="dxa"/>
              <w:left w:w="60" w:type="dxa"/>
              <w:right w:w="60" w:type="dxa"/>
            </w:tcMar>
          </w:tcPr>
          <w:p>
            <w:pPr>
              <w:spacing w:after="0"/>
            </w:pPr>
            <w:r>
              <w:rPr>
                <w:b/>
                <w:color w:val="1E3A8A"/>
                <w:sz w:val="20"/>
              </w:rPr>
              <w:t>Figure 4.2</w:t>
            </w:r>
          </w:p>
        </w:tc>
        <w:tc>
          <w:tcPr>
            <w:tcW w:type="dxa" w:w="3010"/>
            <w:tcMar>
              <w:top w:w="50" w:type="dxa"/>
              <w:bottom w:w="50" w:type="dxa"/>
              <w:left w:w="60" w:type="dxa"/>
              <w:right w:w="60" w:type="dxa"/>
            </w:tcMar>
          </w:tcPr>
          <w:p>
            <w:pPr>
              <w:spacing w:after="0"/>
            </w:pPr>
            <w:r>
              <w:rPr>
                <w:sz w:val="20"/>
              </w:rPr>
              <w:t>WORKUP Unified Use Case Diagram (Student, Content Author, Reviewer, Administrator)</w:t>
            </w:r>
          </w:p>
        </w:tc>
        <w:tc>
          <w:tcPr>
            <w:tcW w:type="dxa" w:w="3010"/>
            <w:tcMar>
              <w:top w:w="50" w:type="dxa"/>
              <w:bottom w:w="50" w:type="dxa"/>
              <w:left w:w="60" w:type="dxa"/>
              <w:right w:w="60" w:type="dxa"/>
            </w:tcMar>
          </w:tcPr>
          <w:p>
            <w:pPr>
              <w:spacing w:after="0"/>
              <w:jc w:val="right"/>
            </w:pPr>
            <w:r>
              <w:rPr>
                <w:color w:val="475569"/>
                <w:sz w:val="19"/>
              </w:rPr>
              <w:t>35</w:t>
            </w:r>
          </w:p>
        </w:tc>
      </w:tr>
      <w:tr>
        <w:tc>
          <w:tcPr>
            <w:tcW w:type="dxa" w:w="3010"/>
            <w:tcMar>
              <w:top w:w="50" w:type="dxa"/>
              <w:bottom w:w="50" w:type="dxa"/>
              <w:left w:w="60" w:type="dxa"/>
              <w:right w:w="60" w:type="dxa"/>
            </w:tcMar>
          </w:tcPr>
          <w:p>
            <w:pPr>
              <w:spacing w:after="0"/>
            </w:pPr>
            <w:r>
              <w:rPr>
                <w:b/>
                <w:color w:val="1E3A8A"/>
                <w:sz w:val="20"/>
              </w:rPr>
              <w:t>Figure 4.3</w:t>
            </w:r>
          </w:p>
        </w:tc>
        <w:tc>
          <w:tcPr>
            <w:tcW w:type="dxa" w:w="3010"/>
            <w:tcMar>
              <w:top w:w="50" w:type="dxa"/>
              <w:bottom w:w="50" w:type="dxa"/>
              <w:left w:w="60" w:type="dxa"/>
              <w:right w:w="60" w:type="dxa"/>
            </w:tcMar>
          </w:tcPr>
          <w:p>
            <w:pPr>
              <w:spacing w:after="0"/>
            </w:pPr>
            <w:r>
              <w:rPr>
                <w:sz w:val="20"/>
              </w:rPr>
              <w:t>WORKUP Activity Workflow Diagram (Universal Lifecycle, Branching, Decision Points)</w:t>
            </w:r>
          </w:p>
        </w:tc>
        <w:tc>
          <w:tcPr>
            <w:tcW w:type="dxa" w:w="3010"/>
            <w:tcMar>
              <w:top w:w="50" w:type="dxa"/>
              <w:bottom w:w="50" w:type="dxa"/>
              <w:left w:w="60" w:type="dxa"/>
              <w:right w:w="60" w:type="dxa"/>
            </w:tcMar>
          </w:tcPr>
          <w:p>
            <w:pPr>
              <w:spacing w:after="0"/>
              <w:jc w:val="right"/>
            </w:pPr>
            <w:r>
              <w:rPr>
                <w:color w:val="475569"/>
                <w:sz w:val="19"/>
              </w:rPr>
              <w:t>36</w:t>
            </w:r>
          </w:p>
        </w:tc>
      </w:tr>
      <w:tr>
        <w:tc>
          <w:tcPr>
            <w:tcW w:type="dxa" w:w="3010"/>
            <w:tcMar>
              <w:top w:w="50" w:type="dxa"/>
              <w:bottom w:w="50" w:type="dxa"/>
              <w:left w:w="60" w:type="dxa"/>
              <w:right w:w="60" w:type="dxa"/>
            </w:tcMar>
          </w:tcPr>
          <w:p>
            <w:pPr>
              <w:spacing w:after="0"/>
            </w:pPr>
            <w:r>
              <w:rPr>
                <w:b/>
                <w:color w:val="1E3A8A"/>
                <w:sz w:val="20"/>
              </w:rPr>
              <w:t>Figure 4.4</w:t>
            </w:r>
          </w:p>
        </w:tc>
        <w:tc>
          <w:tcPr>
            <w:tcW w:type="dxa" w:w="3010"/>
            <w:tcMar>
              <w:top w:w="50" w:type="dxa"/>
              <w:bottom w:w="50" w:type="dxa"/>
              <w:left w:w="60" w:type="dxa"/>
              <w:right w:w="60" w:type="dxa"/>
            </w:tcMar>
          </w:tcPr>
          <w:p>
            <w:pPr>
              <w:spacing w:after="0"/>
            </w:pPr>
            <w:r>
              <w:rPr>
                <w:sz w:val="20"/>
              </w:rPr>
              <w:t>WORKUP Sequence Diagram for Task Submission, Sandbox Testing, and AI PR Review</w:t>
            </w:r>
          </w:p>
        </w:tc>
        <w:tc>
          <w:tcPr>
            <w:tcW w:type="dxa" w:w="3010"/>
            <w:tcMar>
              <w:top w:w="50" w:type="dxa"/>
              <w:bottom w:w="50" w:type="dxa"/>
              <w:left w:w="60" w:type="dxa"/>
              <w:right w:w="60" w:type="dxa"/>
            </w:tcMar>
          </w:tcPr>
          <w:p>
            <w:pPr>
              <w:spacing w:after="0"/>
              <w:jc w:val="right"/>
            </w:pPr>
            <w:r>
              <w:rPr>
                <w:color w:val="475569"/>
                <w:sz w:val="19"/>
              </w:rPr>
              <w:t>37</w:t>
            </w:r>
          </w:p>
        </w:tc>
      </w:tr>
      <w:tr>
        <w:tc>
          <w:tcPr>
            <w:tcW w:type="dxa" w:w="3010"/>
            <w:tcMar>
              <w:top w:w="50" w:type="dxa"/>
              <w:bottom w:w="50" w:type="dxa"/>
              <w:left w:w="60" w:type="dxa"/>
              <w:right w:w="60" w:type="dxa"/>
            </w:tcMar>
          </w:tcPr>
          <w:p>
            <w:pPr>
              <w:spacing w:after="0"/>
            </w:pPr>
            <w:r>
              <w:rPr>
                <w:b/>
                <w:color w:val="1E3A8A"/>
                <w:sz w:val="20"/>
              </w:rPr>
              <w:t>Figure 4.5</w:t>
            </w:r>
          </w:p>
        </w:tc>
        <w:tc>
          <w:tcPr>
            <w:tcW w:type="dxa" w:w="3010"/>
            <w:tcMar>
              <w:top w:w="50" w:type="dxa"/>
              <w:bottom w:w="50" w:type="dxa"/>
              <w:left w:w="60" w:type="dxa"/>
              <w:right w:w="60" w:type="dxa"/>
            </w:tcMar>
          </w:tcPr>
          <w:p>
            <w:pPr>
              <w:spacing w:after="0"/>
            </w:pPr>
            <w:r>
              <w:rPr>
                <w:sz w:val="20"/>
              </w:rPr>
              <w:t>WORKUP Core Domain Class Model Diagram (21 Entities, Attributes, Methods, Multiplicity)</w:t>
            </w:r>
          </w:p>
        </w:tc>
        <w:tc>
          <w:tcPr>
            <w:tcW w:type="dxa" w:w="3010"/>
            <w:tcMar>
              <w:top w:w="50" w:type="dxa"/>
              <w:bottom w:w="50" w:type="dxa"/>
              <w:left w:w="60" w:type="dxa"/>
              <w:right w:w="60" w:type="dxa"/>
            </w:tcMar>
          </w:tcPr>
          <w:p>
            <w:pPr>
              <w:spacing w:after="0"/>
              <w:jc w:val="right"/>
            </w:pPr>
            <w:r>
              <w:rPr>
                <w:color w:val="475569"/>
                <w:sz w:val="19"/>
              </w:rPr>
              <w:t>39</w:t>
            </w:r>
          </w:p>
        </w:tc>
      </w:tr>
      <w:tr>
        <w:tc>
          <w:tcPr>
            <w:tcW w:type="dxa" w:w="3010"/>
            <w:tcMar>
              <w:top w:w="50" w:type="dxa"/>
              <w:bottom w:w="50" w:type="dxa"/>
              <w:left w:w="60" w:type="dxa"/>
              <w:right w:w="60" w:type="dxa"/>
            </w:tcMar>
          </w:tcPr>
          <w:p>
            <w:pPr>
              <w:spacing w:after="0"/>
            </w:pPr>
            <w:r>
              <w:rPr>
                <w:b/>
                <w:color w:val="1E3A8A"/>
                <w:sz w:val="20"/>
              </w:rPr>
              <w:t>Figure 4.6</w:t>
            </w:r>
          </w:p>
        </w:tc>
        <w:tc>
          <w:tcPr>
            <w:tcW w:type="dxa" w:w="3010"/>
            <w:tcMar>
              <w:top w:w="50" w:type="dxa"/>
              <w:bottom w:w="50" w:type="dxa"/>
              <w:left w:w="60" w:type="dxa"/>
              <w:right w:w="60" w:type="dxa"/>
            </w:tcMar>
          </w:tcPr>
          <w:p>
            <w:pPr>
              <w:spacing w:after="0"/>
            </w:pPr>
            <w:r>
              <w:rPr>
                <w:sz w:val="20"/>
              </w:rPr>
              <w:t>WORKUP Entity-Relationship (ER) Relational Schema Diagram</w:t>
            </w:r>
          </w:p>
        </w:tc>
        <w:tc>
          <w:tcPr>
            <w:tcW w:type="dxa" w:w="3010"/>
            <w:tcMar>
              <w:top w:w="50" w:type="dxa"/>
              <w:bottom w:w="50" w:type="dxa"/>
              <w:left w:w="60" w:type="dxa"/>
              <w:right w:w="60" w:type="dxa"/>
            </w:tcMar>
          </w:tcPr>
          <w:p>
            <w:pPr>
              <w:spacing w:after="0"/>
              <w:jc w:val="right"/>
            </w:pPr>
            <w:r>
              <w:rPr>
                <w:color w:val="475569"/>
                <w:sz w:val="19"/>
              </w:rPr>
              <w:t>40</w:t>
            </w:r>
          </w:p>
        </w:tc>
      </w:tr>
      <w:tr>
        <w:tc>
          <w:tcPr>
            <w:tcW w:type="dxa" w:w="3010"/>
            <w:tcMar>
              <w:top w:w="50" w:type="dxa"/>
              <w:bottom w:w="50" w:type="dxa"/>
              <w:left w:w="60" w:type="dxa"/>
              <w:right w:w="60" w:type="dxa"/>
            </w:tcMar>
          </w:tcPr>
          <w:p>
            <w:pPr>
              <w:spacing w:after="0"/>
            </w:pPr>
            <w:r>
              <w:rPr>
                <w:b/>
                <w:color w:val="1E3A8A"/>
                <w:sz w:val="20"/>
              </w:rPr>
              <w:t>Figure 4.7</w:t>
            </w:r>
          </w:p>
        </w:tc>
        <w:tc>
          <w:tcPr>
            <w:tcW w:type="dxa" w:w="3010"/>
            <w:tcMar>
              <w:top w:w="50" w:type="dxa"/>
              <w:bottom w:w="50" w:type="dxa"/>
              <w:left w:w="60" w:type="dxa"/>
              <w:right w:w="60" w:type="dxa"/>
            </w:tcMar>
          </w:tcPr>
          <w:p>
            <w:pPr>
              <w:spacing w:after="0"/>
            </w:pPr>
            <w:r>
              <w:rPr>
                <w:sz w:val="20"/>
              </w:rPr>
              <w:t>WORKUP Component Architecture Diagram (App Router, API Handlers, Core Libs, Storage)</w:t>
            </w:r>
          </w:p>
        </w:tc>
        <w:tc>
          <w:tcPr>
            <w:tcW w:type="dxa" w:w="3010"/>
            <w:tcMar>
              <w:top w:w="50" w:type="dxa"/>
              <w:bottom w:w="50" w:type="dxa"/>
              <w:left w:w="60" w:type="dxa"/>
              <w:right w:w="60" w:type="dxa"/>
            </w:tcMar>
          </w:tcPr>
          <w:p>
            <w:pPr>
              <w:spacing w:after="0"/>
              <w:jc w:val="right"/>
            </w:pPr>
            <w:r>
              <w:rPr>
                <w:color w:val="475569"/>
                <w:sz w:val="19"/>
              </w:rPr>
              <w:t>41</w:t>
            </w:r>
          </w:p>
        </w:tc>
      </w:tr>
      <w:tr>
        <w:tc>
          <w:tcPr>
            <w:tcW w:type="dxa" w:w="3010"/>
            <w:tcMar>
              <w:top w:w="50" w:type="dxa"/>
              <w:bottom w:w="50" w:type="dxa"/>
              <w:left w:w="60" w:type="dxa"/>
              <w:right w:w="60" w:type="dxa"/>
            </w:tcMar>
          </w:tcPr>
          <w:p>
            <w:pPr>
              <w:spacing w:after="0"/>
            </w:pPr>
            <w:r>
              <w:rPr>
                <w:b/>
                <w:color w:val="1E3A8A"/>
                <w:sz w:val="20"/>
              </w:rPr>
              <w:t>Figure 4.8</w:t>
            </w:r>
          </w:p>
        </w:tc>
        <w:tc>
          <w:tcPr>
            <w:tcW w:type="dxa" w:w="3010"/>
            <w:tcMar>
              <w:top w:w="50" w:type="dxa"/>
              <w:bottom w:w="50" w:type="dxa"/>
              <w:left w:w="60" w:type="dxa"/>
              <w:right w:w="60" w:type="dxa"/>
            </w:tcMar>
          </w:tcPr>
          <w:p>
            <w:pPr>
              <w:spacing w:after="0"/>
            </w:pPr>
            <w:r>
              <w:rPr>
                <w:sz w:val="20"/>
              </w:rPr>
              <w:t>WORKUP Deployment Topology Diagram (Browser, Next.js Server, Sandbox Host, Persistent DB)</w:t>
            </w:r>
          </w:p>
        </w:tc>
        <w:tc>
          <w:tcPr>
            <w:tcW w:type="dxa" w:w="3010"/>
            <w:tcMar>
              <w:top w:w="50" w:type="dxa"/>
              <w:bottom w:w="50" w:type="dxa"/>
              <w:left w:w="60" w:type="dxa"/>
              <w:right w:w="60" w:type="dxa"/>
            </w:tcMar>
          </w:tcPr>
          <w:p>
            <w:pPr>
              <w:spacing w:after="0"/>
              <w:jc w:val="right"/>
            </w:pPr>
            <w:r>
              <w:rPr>
                <w:color w:val="475569"/>
                <w:sz w:val="19"/>
              </w:rPr>
              <w:t>42</w:t>
            </w:r>
          </w:p>
        </w:tc>
      </w:tr>
      <w:tr>
        <w:tc>
          <w:tcPr>
            <w:tcW w:type="dxa" w:w="3010"/>
            <w:tcMar>
              <w:top w:w="50" w:type="dxa"/>
              <w:bottom w:w="50" w:type="dxa"/>
              <w:left w:w="60" w:type="dxa"/>
              <w:right w:w="60" w:type="dxa"/>
            </w:tcMar>
          </w:tcPr>
          <w:p>
            <w:pPr>
              <w:spacing w:after="0"/>
            </w:pPr>
            <w:r>
              <w:rPr>
                <w:b/>
                <w:color w:val="1E3A8A"/>
                <w:sz w:val="20"/>
              </w:rPr>
              <w:t>Figure 4.9</w:t>
            </w:r>
          </w:p>
        </w:tc>
        <w:tc>
          <w:tcPr>
            <w:tcW w:type="dxa" w:w="3010"/>
            <w:tcMar>
              <w:top w:w="50" w:type="dxa"/>
              <w:bottom w:w="50" w:type="dxa"/>
              <w:left w:w="60" w:type="dxa"/>
              <w:right w:w="60" w:type="dxa"/>
            </w:tcMar>
          </w:tcPr>
          <w:p>
            <w:pPr>
              <w:spacing w:after="0"/>
            </w:pPr>
            <w:r>
              <w:rPr>
                <w:sz w:val="20"/>
              </w:rPr>
              <w:t>The Universal Professional Engineering Lifecycle Pipeline (14-Stage Connected Workflow)</w:t>
            </w:r>
          </w:p>
        </w:tc>
        <w:tc>
          <w:tcPr>
            <w:tcW w:type="dxa" w:w="3010"/>
            <w:tcMar>
              <w:top w:w="50" w:type="dxa"/>
              <w:bottom w:w="50" w:type="dxa"/>
              <w:left w:w="60" w:type="dxa"/>
              <w:right w:w="60" w:type="dxa"/>
            </w:tcMar>
          </w:tcPr>
          <w:p>
            <w:pPr>
              <w:spacing w:after="0"/>
              <w:jc w:val="right"/>
            </w:pPr>
            <w:r>
              <w:rPr>
                <w:color w:val="475569"/>
                <w:sz w:val="19"/>
              </w:rPr>
              <w:t>43</w:t>
            </w:r>
          </w:p>
        </w:tc>
      </w:tr>
    </w:tbl>
    <w:p>
      <w:r>
        <w:br w:type="page"/>
      </w:r>
    </w:p>
    <w:p>
      <w:pPr>
        <w:keepNext/>
        <w:spacing w:before="320" w:after="280"/>
        <w:jc w:val="center"/>
      </w:pPr>
      <w:r>
        <w:rPr>
          <w:rFonts w:ascii="Times New Roman" w:hAnsi="Times New Roman"/>
          <w:b/>
          <w:color w:val="1E3A8A"/>
          <w:sz w:val="32"/>
        </w:rPr>
        <w:t>LIST OF TABLES</w:t>
      </w:r>
    </w:p>
    <w:tbl>
      <w:tblPr>
        <w:tblW w:type="auto" w:w="0"/>
        <w:jc w:val="center"/>
        <w:tblLook w:firstColumn="1" w:firstRow="1" w:lastColumn="0" w:lastRow="0" w:noHBand="0" w:noVBand="1" w:val="04A0"/>
        <w:tblBorders>
          <w:top w:val="single" w:sz="2" w:space="0" w:color="e2e8f0"/>
          <w:bottom w:val="single" w:sz="2" w:space="0" w:color="e2e8f0"/>
          <w:left w:val="none"/>
          <w:right w:val="none"/>
          <w:insideH w:val="single" w:sz="2" w:space="0" w:color="e2e8f0"/>
          <w:insideV w:val="none"/>
        </w:tblBorders>
      </w:tblPr>
      <w:tblGrid>
        <w:gridCol w:w="1872"/>
        <w:gridCol w:w="6048"/>
        <w:gridCol w:w="1109"/>
      </w:tblGrid>
      <w:tr>
        <w:tc>
          <w:tcPr>
            <w:tcW w:type="dxa" w:w="3010"/>
            <w:tcMar>
              <w:top w:w="50" w:type="dxa"/>
              <w:bottom w:w="50" w:type="dxa"/>
              <w:left w:w="60" w:type="dxa"/>
              <w:right w:w="60" w:type="dxa"/>
            </w:tcMar>
          </w:tcPr>
          <w:p>
            <w:pPr>
              <w:spacing w:after="0"/>
            </w:pPr>
            <w:r>
              <w:rPr>
                <w:b/>
                <w:color w:val="1E3A8A"/>
                <w:sz w:val="20"/>
              </w:rPr>
              <w:t>Table 2.1</w:t>
            </w:r>
          </w:p>
        </w:tc>
        <w:tc>
          <w:tcPr>
            <w:tcW w:type="dxa" w:w="3010"/>
            <w:tcMar>
              <w:top w:w="50" w:type="dxa"/>
              <w:bottom w:w="50" w:type="dxa"/>
              <w:left w:w="60" w:type="dxa"/>
              <w:right w:w="60" w:type="dxa"/>
            </w:tcMar>
          </w:tcPr>
          <w:p>
            <w:pPr>
              <w:spacing w:after="0"/>
            </w:pPr>
            <w:r>
              <w:rPr>
                <w:sz w:val="20"/>
              </w:rPr>
              <w:t>Comprehensive Comparative Analysis of Existing Platforms vs. Proposed WORKUP Platform</w:t>
            </w:r>
          </w:p>
        </w:tc>
        <w:tc>
          <w:tcPr>
            <w:tcW w:type="dxa" w:w="3010"/>
            <w:tcMar>
              <w:top w:w="50" w:type="dxa"/>
              <w:bottom w:w="50" w:type="dxa"/>
              <w:left w:w="60" w:type="dxa"/>
              <w:right w:w="60" w:type="dxa"/>
            </w:tcMar>
          </w:tcPr>
          <w:p>
            <w:pPr>
              <w:spacing w:after="0"/>
              <w:jc w:val="right"/>
            </w:pPr>
            <w:r>
              <w:rPr>
                <w:color w:val="475569"/>
                <w:sz w:val="19"/>
              </w:rPr>
              <w:t>24</w:t>
            </w:r>
          </w:p>
        </w:tc>
      </w:tr>
      <w:tr>
        <w:tc>
          <w:tcPr>
            <w:tcW w:type="dxa" w:w="3010"/>
            <w:tcMar>
              <w:top w:w="50" w:type="dxa"/>
              <w:bottom w:w="50" w:type="dxa"/>
              <w:left w:w="60" w:type="dxa"/>
              <w:right w:w="60" w:type="dxa"/>
            </w:tcMar>
          </w:tcPr>
          <w:p>
            <w:pPr>
              <w:spacing w:after="0"/>
            </w:pPr>
            <w:r>
              <w:rPr>
                <w:b/>
                <w:color w:val="1E3A8A"/>
                <w:sz w:val="20"/>
              </w:rPr>
              <w:t>Table 3.1</w:t>
            </w:r>
          </w:p>
        </w:tc>
        <w:tc>
          <w:tcPr>
            <w:tcW w:type="dxa" w:w="3010"/>
            <w:tcMar>
              <w:top w:w="50" w:type="dxa"/>
              <w:bottom w:w="50" w:type="dxa"/>
              <w:left w:w="60" w:type="dxa"/>
              <w:right w:w="60" w:type="dxa"/>
            </w:tcMar>
          </w:tcPr>
          <w:p>
            <w:pPr>
              <w:spacing w:after="0"/>
            </w:pPr>
            <w:r>
              <w:rPr>
                <w:sz w:val="20"/>
              </w:rPr>
              <w:t>Detailed Functional Requirements Specification Matrix (FR-01 to FR-12)</w:t>
            </w:r>
          </w:p>
        </w:tc>
        <w:tc>
          <w:tcPr>
            <w:tcW w:type="dxa" w:w="3010"/>
            <w:tcMar>
              <w:top w:w="50" w:type="dxa"/>
              <w:bottom w:w="50" w:type="dxa"/>
              <w:left w:w="60" w:type="dxa"/>
              <w:right w:w="60" w:type="dxa"/>
            </w:tcMar>
          </w:tcPr>
          <w:p>
            <w:pPr>
              <w:spacing w:after="0"/>
              <w:jc w:val="right"/>
            </w:pPr>
            <w:r>
              <w:rPr>
                <w:color w:val="475569"/>
                <w:sz w:val="19"/>
              </w:rPr>
              <w:t>27</w:t>
            </w:r>
          </w:p>
        </w:tc>
      </w:tr>
      <w:tr>
        <w:tc>
          <w:tcPr>
            <w:tcW w:type="dxa" w:w="3010"/>
            <w:tcMar>
              <w:top w:w="50" w:type="dxa"/>
              <w:bottom w:w="50" w:type="dxa"/>
              <w:left w:w="60" w:type="dxa"/>
              <w:right w:w="60" w:type="dxa"/>
            </w:tcMar>
          </w:tcPr>
          <w:p>
            <w:pPr>
              <w:spacing w:after="0"/>
            </w:pPr>
            <w:r>
              <w:rPr>
                <w:b/>
                <w:color w:val="1E3A8A"/>
                <w:sz w:val="20"/>
              </w:rPr>
              <w:t>Table 3.2</w:t>
            </w:r>
          </w:p>
        </w:tc>
        <w:tc>
          <w:tcPr>
            <w:tcW w:type="dxa" w:w="3010"/>
            <w:tcMar>
              <w:top w:w="50" w:type="dxa"/>
              <w:bottom w:w="50" w:type="dxa"/>
              <w:left w:w="60" w:type="dxa"/>
              <w:right w:w="60" w:type="dxa"/>
            </w:tcMar>
          </w:tcPr>
          <w:p>
            <w:pPr>
              <w:spacing w:after="0"/>
            </w:pPr>
            <w:r>
              <w:rPr>
                <w:sz w:val="20"/>
              </w:rPr>
              <w:t>Non-Functional Requirements and System Quality Attributes (NFR-01 to NFR-08)</w:t>
            </w:r>
          </w:p>
        </w:tc>
        <w:tc>
          <w:tcPr>
            <w:tcW w:type="dxa" w:w="3010"/>
            <w:tcMar>
              <w:top w:w="50" w:type="dxa"/>
              <w:bottom w:w="50" w:type="dxa"/>
              <w:left w:w="60" w:type="dxa"/>
              <w:right w:w="60" w:type="dxa"/>
            </w:tcMar>
          </w:tcPr>
          <w:p>
            <w:pPr>
              <w:spacing w:after="0"/>
              <w:jc w:val="right"/>
            </w:pPr>
            <w:r>
              <w:rPr>
                <w:color w:val="475569"/>
                <w:sz w:val="19"/>
              </w:rPr>
              <w:t>28</w:t>
            </w:r>
          </w:p>
        </w:tc>
      </w:tr>
      <w:tr>
        <w:tc>
          <w:tcPr>
            <w:tcW w:type="dxa" w:w="3010"/>
            <w:tcMar>
              <w:top w:w="50" w:type="dxa"/>
              <w:bottom w:w="50" w:type="dxa"/>
              <w:left w:w="60" w:type="dxa"/>
              <w:right w:w="60" w:type="dxa"/>
            </w:tcMar>
          </w:tcPr>
          <w:p>
            <w:pPr>
              <w:spacing w:after="0"/>
            </w:pPr>
            <w:r>
              <w:rPr>
                <w:b/>
                <w:color w:val="1E3A8A"/>
                <w:sz w:val="20"/>
              </w:rPr>
              <w:t>Table 3.3</w:t>
            </w:r>
          </w:p>
        </w:tc>
        <w:tc>
          <w:tcPr>
            <w:tcW w:type="dxa" w:w="3010"/>
            <w:tcMar>
              <w:top w:w="50" w:type="dxa"/>
              <w:bottom w:w="50" w:type="dxa"/>
              <w:left w:w="60" w:type="dxa"/>
              <w:right w:w="60" w:type="dxa"/>
            </w:tcMar>
          </w:tcPr>
          <w:p>
            <w:pPr>
              <w:spacing w:after="0"/>
            </w:pPr>
            <w:r>
              <w:rPr>
                <w:sz w:val="20"/>
              </w:rPr>
              <w:t>Hardware and Software Environment Specifications</w:t>
            </w:r>
          </w:p>
        </w:tc>
        <w:tc>
          <w:tcPr>
            <w:tcW w:type="dxa" w:w="3010"/>
            <w:tcMar>
              <w:top w:w="50" w:type="dxa"/>
              <w:bottom w:w="50" w:type="dxa"/>
              <w:left w:w="60" w:type="dxa"/>
              <w:right w:w="60" w:type="dxa"/>
            </w:tcMar>
          </w:tcPr>
          <w:p>
            <w:pPr>
              <w:spacing w:after="0"/>
              <w:jc w:val="right"/>
            </w:pPr>
            <w:r>
              <w:rPr>
                <w:color w:val="475569"/>
                <w:sz w:val="19"/>
              </w:rPr>
              <w:t>29</w:t>
            </w:r>
          </w:p>
        </w:tc>
      </w:tr>
      <w:tr>
        <w:tc>
          <w:tcPr>
            <w:tcW w:type="dxa" w:w="3010"/>
            <w:tcMar>
              <w:top w:w="50" w:type="dxa"/>
              <w:bottom w:w="50" w:type="dxa"/>
              <w:left w:w="60" w:type="dxa"/>
              <w:right w:w="60" w:type="dxa"/>
            </w:tcMar>
          </w:tcPr>
          <w:p>
            <w:pPr>
              <w:spacing w:after="0"/>
            </w:pPr>
            <w:r>
              <w:rPr>
                <w:b/>
                <w:color w:val="1E3A8A"/>
                <w:sz w:val="20"/>
              </w:rPr>
              <w:t>Table 3.4</w:t>
            </w:r>
          </w:p>
        </w:tc>
        <w:tc>
          <w:tcPr>
            <w:tcW w:type="dxa" w:w="3010"/>
            <w:tcMar>
              <w:top w:w="50" w:type="dxa"/>
              <w:bottom w:w="50" w:type="dxa"/>
              <w:left w:w="60" w:type="dxa"/>
              <w:right w:w="60" w:type="dxa"/>
            </w:tcMar>
          </w:tcPr>
          <w:p>
            <w:pPr>
              <w:spacing w:after="0"/>
            </w:pPr>
            <w:r>
              <w:rPr>
                <w:sz w:val="20"/>
              </w:rPr>
              <w:t>Technology Stack Components and Engineering Justification Matrix</w:t>
            </w:r>
          </w:p>
        </w:tc>
        <w:tc>
          <w:tcPr>
            <w:tcW w:type="dxa" w:w="3010"/>
            <w:tcMar>
              <w:top w:w="50" w:type="dxa"/>
              <w:bottom w:w="50" w:type="dxa"/>
              <w:left w:w="60" w:type="dxa"/>
              <w:right w:w="60" w:type="dxa"/>
            </w:tcMar>
          </w:tcPr>
          <w:p>
            <w:pPr>
              <w:spacing w:after="0"/>
              <w:jc w:val="right"/>
            </w:pPr>
            <w:r>
              <w:rPr>
                <w:color w:val="475569"/>
                <w:sz w:val="19"/>
              </w:rPr>
              <w:t>30</w:t>
            </w:r>
          </w:p>
        </w:tc>
      </w:tr>
      <w:tr>
        <w:tc>
          <w:tcPr>
            <w:tcW w:type="dxa" w:w="3010"/>
            <w:tcMar>
              <w:top w:w="50" w:type="dxa"/>
              <w:bottom w:w="50" w:type="dxa"/>
              <w:left w:w="60" w:type="dxa"/>
              <w:right w:w="60" w:type="dxa"/>
            </w:tcMar>
          </w:tcPr>
          <w:p>
            <w:pPr>
              <w:spacing w:after="0"/>
            </w:pPr>
            <w:r>
              <w:rPr>
                <w:b/>
                <w:color w:val="1E3A8A"/>
                <w:sz w:val="20"/>
              </w:rPr>
              <w:t>Table 6.1</w:t>
            </w:r>
          </w:p>
        </w:tc>
        <w:tc>
          <w:tcPr>
            <w:tcW w:type="dxa" w:w="3010"/>
            <w:tcMar>
              <w:top w:w="50" w:type="dxa"/>
              <w:bottom w:w="50" w:type="dxa"/>
              <w:left w:w="60" w:type="dxa"/>
              <w:right w:w="60" w:type="dxa"/>
            </w:tcMar>
          </w:tcPr>
          <w:p>
            <w:pPr>
              <w:spacing w:after="0"/>
            </w:pPr>
            <w:r>
              <w:rPr>
                <w:sz w:val="20"/>
              </w:rPr>
              <w:t>Phased Milestone Implementation Roadmap (Phases 0 through 12)</w:t>
            </w:r>
          </w:p>
        </w:tc>
        <w:tc>
          <w:tcPr>
            <w:tcW w:type="dxa" w:w="3010"/>
            <w:tcMar>
              <w:top w:w="50" w:type="dxa"/>
              <w:bottom w:w="50" w:type="dxa"/>
              <w:left w:w="60" w:type="dxa"/>
              <w:right w:w="60" w:type="dxa"/>
            </w:tcMar>
          </w:tcPr>
          <w:p>
            <w:pPr>
              <w:spacing w:after="0"/>
              <w:jc w:val="right"/>
            </w:pPr>
            <w:r>
              <w:rPr>
                <w:color w:val="475569"/>
                <w:sz w:val="19"/>
              </w:rPr>
              <w:t>48</w:t>
            </w:r>
          </w:p>
        </w:tc>
      </w:tr>
      <w:tr>
        <w:tc>
          <w:tcPr>
            <w:tcW w:type="dxa" w:w="3010"/>
            <w:tcMar>
              <w:top w:w="50" w:type="dxa"/>
              <w:bottom w:w="50" w:type="dxa"/>
              <w:left w:w="60" w:type="dxa"/>
              <w:right w:w="60" w:type="dxa"/>
            </w:tcMar>
          </w:tcPr>
          <w:p>
            <w:pPr>
              <w:spacing w:after="0"/>
            </w:pPr>
            <w:r>
              <w:rPr>
                <w:b/>
                <w:color w:val="1E3A8A"/>
                <w:sz w:val="20"/>
              </w:rPr>
              <w:t>Table 6.2</w:t>
            </w:r>
          </w:p>
        </w:tc>
        <w:tc>
          <w:tcPr>
            <w:tcW w:type="dxa" w:w="3010"/>
            <w:tcMar>
              <w:top w:w="50" w:type="dxa"/>
              <w:bottom w:w="50" w:type="dxa"/>
              <w:left w:w="60" w:type="dxa"/>
              <w:right w:w="60" w:type="dxa"/>
            </w:tcMar>
          </w:tcPr>
          <w:p>
            <w:pPr>
              <w:spacing w:after="0"/>
            </w:pPr>
            <w:r>
              <w:rPr>
                <w:sz w:val="20"/>
              </w:rPr>
              <w:t>Vitest Automated Test Suite Execution Summary (34 Tests, 8 Suites, 100% Passing)</w:t>
            </w:r>
          </w:p>
        </w:tc>
        <w:tc>
          <w:tcPr>
            <w:tcW w:type="dxa" w:w="3010"/>
            <w:tcMar>
              <w:top w:w="50" w:type="dxa"/>
              <w:bottom w:w="50" w:type="dxa"/>
              <w:left w:w="60" w:type="dxa"/>
              <w:right w:w="60" w:type="dxa"/>
            </w:tcMar>
          </w:tcPr>
          <w:p>
            <w:pPr>
              <w:spacing w:after="0"/>
              <w:jc w:val="right"/>
            </w:pPr>
            <w:r>
              <w:rPr>
                <w:color w:val="475569"/>
                <w:sz w:val="19"/>
              </w:rPr>
              <w:t>49</w:t>
            </w:r>
          </w:p>
        </w:tc>
      </w:tr>
      <w:tr>
        <w:tc>
          <w:tcPr>
            <w:tcW w:type="dxa" w:w="3010"/>
            <w:tcMar>
              <w:top w:w="50" w:type="dxa"/>
              <w:bottom w:w="50" w:type="dxa"/>
              <w:left w:w="60" w:type="dxa"/>
              <w:right w:w="60" w:type="dxa"/>
            </w:tcMar>
          </w:tcPr>
          <w:p>
            <w:pPr>
              <w:spacing w:after="0"/>
            </w:pPr>
            <w:r>
              <w:rPr>
                <w:b/>
                <w:color w:val="1E3A8A"/>
                <w:sz w:val="20"/>
              </w:rPr>
              <w:t>Table 6.3</w:t>
            </w:r>
          </w:p>
        </w:tc>
        <w:tc>
          <w:tcPr>
            <w:tcW w:type="dxa" w:w="3010"/>
            <w:tcMar>
              <w:top w:w="50" w:type="dxa"/>
              <w:bottom w:w="50" w:type="dxa"/>
              <w:left w:w="60" w:type="dxa"/>
              <w:right w:w="60" w:type="dxa"/>
            </w:tcMar>
          </w:tcPr>
          <w:p>
            <w:pPr>
              <w:spacing w:after="0"/>
            </w:pPr>
            <w:r>
              <w:rPr>
                <w:sz w:val="20"/>
              </w:rPr>
              <w:t>Risk Matrix, Severity Classification, and Engineering Mitigation Strategies</w:t>
            </w:r>
          </w:p>
        </w:tc>
        <w:tc>
          <w:tcPr>
            <w:tcW w:type="dxa" w:w="3010"/>
            <w:tcMar>
              <w:top w:w="50" w:type="dxa"/>
              <w:bottom w:w="50" w:type="dxa"/>
              <w:left w:w="60" w:type="dxa"/>
              <w:right w:w="60" w:type="dxa"/>
            </w:tcMar>
          </w:tcPr>
          <w:p>
            <w:pPr>
              <w:spacing w:after="0"/>
              <w:jc w:val="right"/>
            </w:pPr>
            <w:r>
              <w:rPr>
                <w:color w:val="475569"/>
                <w:sz w:val="19"/>
              </w:rPr>
              <w:t>51</w:t>
            </w:r>
          </w:p>
        </w:tc>
      </w:tr>
      <w:tr>
        <w:tc>
          <w:tcPr>
            <w:tcW w:type="dxa" w:w="3010"/>
            <w:tcMar>
              <w:top w:w="50" w:type="dxa"/>
              <w:bottom w:w="50" w:type="dxa"/>
              <w:left w:w="60" w:type="dxa"/>
              <w:right w:w="60" w:type="dxa"/>
            </w:tcMar>
          </w:tcPr>
          <w:p>
            <w:pPr>
              <w:spacing w:after="0"/>
            </w:pPr>
            <w:r>
              <w:rPr>
                <w:b/>
                <w:color w:val="1E3A8A"/>
                <w:sz w:val="20"/>
              </w:rPr>
              <w:t>Table A.1</w:t>
            </w:r>
          </w:p>
        </w:tc>
        <w:tc>
          <w:tcPr>
            <w:tcW w:type="dxa" w:w="3010"/>
            <w:tcMar>
              <w:top w:w="50" w:type="dxa"/>
              <w:bottom w:w="50" w:type="dxa"/>
              <w:left w:w="60" w:type="dxa"/>
              <w:right w:w="60" w:type="dxa"/>
            </w:tcMar>
          </w:tcPr>
          <w:p>
            <w:pPr>
              <w:spacing w:after="0"/>
            </w:pPr>
            <w:r>
              <w:rPr>
                <w:sz w:val="20"/>
              </w:rPr>
              <w:t>Complete Database Entity Dictionary and Relationship Mapping (21 Prisma Models)</w:t>
            </w:r>
          </w:p>
        </w:tc>
        <w:tc>
          <w:tcPr>
            <w:tcW w:type="dxa" w:w="3010"/>
            <w:tcMar>
              <w:top w:w="50" w:type="dxa"/>
              <w:bottom w:w="50" w:type="dxa"/>
              <w:left w:w="60" w:type="dxa"/>
              <w:right w:w="60" w:type="dxa"/>
            </w:tcMar>
          </w:tcPr>
          <w:p>
            <w:pPr>
              <w:spacing w:after="0"/>
              <w:jc w:val="right"/>
            </w:pPr>
            <w:r>
              <w:rPr>
                <w:color w:val="475569"/>
                <w:sz w:val="19"/>
              </w:rPr>
              <w:t>56</w:t>
            </w:r>
          </w:p>
        </w:tc>
      </w:tr>
    </w:tbl>
    <w:p>
      <w:r>
        <w:br w:type="page"/>
      </w:r>
    </w:p>
    <w:p>
      <w:pPr>
        <w:keepNext/>
        <w:spacing w:before="320" w:after="280"/>
        <w:jc w:val="center"/>
      </w:pPr>
      <w:r>
        <w:rPr>
          <w:rFonts w:ascii="Times New Roman" w:hAnsi="Times New Roman"/>
          <w:b/>
          <w:color w:val="1E3A8A"/>
          <w:sz w:val="32"/>
        </w:rPr>
        <w:t>LIST OF ABBREVIATIONS</w:t>
      </w:r>
    </w:p>
    <w:tbl>
      <w:tblPr>
        <w:tblW w:type="auto" w:w="0"/>
        <w:jc w:val="center"/>
        <w:tblLook w:firstColumn="1" w:firstRow="1" w:lastColumn="0" w:lastRow="0" w:noHBand="0" w:noVBand="1" w:val="04A0"/>
        <w:tblBorders>
          <w:top w:val="single" w:sz="2" w:space="0" w:color="e2e8f0"/>
          <w:bottom w:val="single" w:sz="2" w:space="0" w:color="e2e8f0"/>
          <w:left w:val="none"/>
          <w:right w:val="none"/>
          <w:insideH w:val="single" w:sz="2" w:space="0" w:color="e2e8f0"/>
          <w:insideV w:val="none"/>
        </w:tblBorders>
      </w:tblPr>
      <w:tblGrid>
        <w:gridCol w:w="2592"/>
        <w:gridCol w:w="6437"/>
      </w:tblGrid>
      <w:tr>
        <w:tc>
          <w:tcPr>
            <w:tcW w:type="dxa" w:w="4514"/>
            <w:tcMar>
              <w:top w:w="40" w:type="dxa"/>
              <w:bottom w:w="40" w:type="dxa"/>
              <w:left w:w="60" w:type="dxa"/>
              <w:right w:w="60" w:type="dxa"/>
            </w:tcMar>
          </w:tcPr>
          <w:p>
            <w:pPr>
              <w:spacing w:after="0"/>
            </w:pPr>
            <w:r>
              <w:rPr>
                <w:b/>
                <w:color w:val="1E3A8A"/>
                <w:sz w:val="20"/>
              </w:rPr>
              <w:t>ADR</w:t>
            </w:r>
          </w:p>
        </w:tc>
        <w:tc>
          <w:tcPr>
            <w:tcW w:type="dxa" w:w="4514"/>
            <w:tcMar>
              <w:top w:w="40" w:type="dxa"/>
              <w:bottom w:w="40" w:type="dxa"/>
              <w:left w:w="60" w:type="dxa"/>
              <w:right w:w="60" w:type="dxa"/>
            </w:tcMar>
          </w:tcPr>
          <w:p>
            <w:pPr>
              <w:spacing w:after="0"/>
            </w:pPr>
            <w:r>
              <w:rPr>
                <w:sz w:val="20"/>
              </w:rPr>
              <w:t>Architecture Decision Record</w:t>
            </w:r>
          </w:p>
        </w:tc>
      </w:tr>
      <w:tr>
        <w:tc>
          <w:tcPr>
            <w:tcW w:type="dxa" w:w="4514"/>
            <w:tcMar>
              <w:top w:w="40" w:type="dxa"/>
              <w:bottom w:w="40" w:type="dxa"/>
              <w:left w:w="60" w:type="dxa"/>
              <w:right w:w="60" w:type="dxa"/>
            </w:tcMar>
          </w:tcPr>
          <w:p>
            <w:pPr>
              <w:spacing w:after="0"/>
            </w:pPr>
            <w:r>
              <w:rPr>
                <w:b/>
                <w:color w:val="1E3A8A"/>
                <w:sz w:val="20"/>
              </w:rPr>
              <w:t>API</w:t>
            </w:r>
          </w:p>
        </w:tc>
        <w:tc>
          <w:tcPr>
            <w:tcW w:type="dxa" w:w="4514"/>
            <w:tcMar>
              <w:top w:w="40" w:type="dxa"/>
              <w:bottom w:w="40" w:type="dxa"/>
              <w:left w:w="60" w:type="dxa"/>
              <w:right w:w="60" w:type="dxa"/>
            </w:tcMar>
          </w:tcPr>
          <w:p>
            <w:pPr>
              <w:spacing w:after="0"/>
            </w:pPr>
            <w:r>
              <w:rPr>
                <w:sz w:val="20"/>
              </w:rPr>
              <w:t>Application Programming Interface</w:t>
            </w:r>
          </w:p>
        </w:tc>
      </w:tr>
      <w:tr>
        <w:tc>
          <w:tcPr>
            <w:tcW w:type="dxa" w:w="4514"/>
            <w:tcMar>
              <w:top w:w="40" w:type="dxa"/>
              <w:bottom w:w="40" w:type="dxa"/>
              <w:left w:w="60" w:type="dxa"/>
              <w:right w:w="60" w:type="dxa"/>
            </w:tcMar>
          </w:tcPr>
          <w:p>
            <w:pPr>
              <w:spacing w:after="0"/>
            </w:pPr>
            <w:r>
              <w:rPr>
                <w:b/>
                <w:color w:val="1E3A8A"/>
                <w:sz w:val="20"/>
              </w:rPr>
              <w:t>AST</w:t>
            </w:r>
          </w:p>
        </w:tc>
        <w:tc>
          <w:tcPr>
            <w:tcW w:type="dxa" w:w="4514"/>
            <w:tcMar>
              <w:top w:w="40" w:type="dxa"/>
              <w:bottom w:w="40" w:type="dxa"/>
              <w:left w:w="60" w:type="dxa"/>
              <w:right w:w="60" w:type="dxa"/>
            </w:tcMar>
          </w:tcPr>
          <w:p>
            <w:pPr>
              <w:spacing w:after="0"/>
            </w:pPr>
            <w:r>
              <w:rPr>
                <w:sz w:val="20"/>
              </w:rPr>
              <w:t>Abstract Syntax Tree</w:t>
            </w:r>
          </w:p>
        </w:tc>
      </w:tr>
      <w:tr>
        <w:tc>
          <w:tcPr>
            <w:tcW w:type="dxa" w:w="4514"/>
            <w:tcMar>
              <w:top w:w="40" w:type="dxa"/>
              <w:bottom w:w="40" w:type="dxa"/>
              <w:left w:w="60" w:type="dxa"/>
              <w:right w:w="60" w:type="dxa"/>
            </w:tcMar>
          </w:tcPr>
          <w:p>
            <w:pPr>
              <w:spacing w:after="0"/>
            </w:pPr>
            <w:r>
              <w:rPr>
                <w:b/>
                <w:color w:val="1E3A8A"/>
                <w:sz w:val="20"/>
              </w:rPr>
              <w:t>CI/CD</w:t>
            </w:r>
          </w:p>
        </w:tc>
        <w:tc>
          <w:tcPr>
            <w:tcW w:type="dxa" w:w="4514"/>
            <w:tcMar>
              <w:top w:w="40" w:type="dxa"/>
              <w:bottom w:w="40" w:type="dxa"/>
              <w:left w:w="60" w:type="dxa"/>
              <w:right w:w="60" w:type="dxa"/>
            </w:tcMar>
          </w:tcPr>
          <w:p>
            <w:pPr>
              <w:spacing w:after="0"/>
            </w:pPr>
            <w:r>
              <w:rPr>
                <w:sz w:val="20"/>
              </w:rPr>
              <w:t>Continuous Integration and Continuous Deployment</w:t>
            </w:r>
          </w:p>
        </w:tc>
      </w:tr>
      <w:tr>
        <w:tc>
          <w:tcPr>
            <w:tcW w:type="dxa" w:w="4514"/>
            <w:tcMar>
              <w:top w:w="40" w:type="dxa"/>
              <w:bottom w:w="40" w:type="dxa"/>
              <w:left w:w="60" w:type="dxa"/>
              <w:right w:w="60" w:type="dxa"/>
            </w:tcMar>
          </w:tcPr>
          <w:p>
            <w:pPr>
              <w:spacing w:after="0"/>
            </w:pPr>
            <w:r>
              <w:rPr>
                <w:b/>
                <w:color w:val="1E3A8A"/>
                <w:sz w:val="20"/>
              </w:rPr>
              <w:t>CLI</w:t>
            </w:r>
          </w:p>
        </w:tc>
        <w:tc>
          <w:tcPr>
            <w:tcW w:type="dxa" w:w="4514"/>
            <w:tcMar>
              <w:top w:w="40" w:type="dxa"/>
              <w:bottom w:w="40" w:type="dxa"/>
              <w:left w:w="60" w:type="dxa"/>
              <w:right w:w="60" w:type="dxa"/>
            </w:tcMar>
          </w:tcPr>
          <w:p>
            <w:pPr>
              <w:spacing w:after="0"/>
            </w:pPr>
            <w:r>
              <w:rPr>
                <w:sz w:val="20"/>
              </w:rPr>
              <w:t>Command Line Interface</w:t>
            </w:r>
          </w:p>
        </w:tc>
      </w:tr>
      <w:tr>
        <w:tc>
          <w:tcPr>
            <w:tcW w:type="dxa" w:w="4514"/>
            <w:tcMar>
              <w:top w:w="40" w:type="dxa"/>
              <w:bottom w:w="40" w:type="dxa"/>
              <w:left w:w="60" w:type="dxa"/>
              <w:right w:w="60" w:type="dxa"/>
            </w:tcMar>
          </w:tcPr>
          <w:p>
            <w:pPr>
              <w:spacing w:after="0"/>
            </w:pPr>
            <w:r>
              <w:rPr>
                <w:b/>
                <w:color w:val="1E3A8A"/>
                <w:sz w:val="20"/>
              </w:rPr>
              <w:t>CPU</w:t>
            </w:r>
          </w:p>
        </w:tc>
        <w:tc>
          <w:tcPr>
            <w:tcW w:type="dxa" w:w="4514"/>
            <w:tcMar>
              <w:top w:w="40" w:type="dxa"/>
              <w:bottom w:w="40" w:type="dxa"/>
              <w:left w:w="60" w:type="dxa"/>
              <w:right w:w="60" w:type="dxa"/>
            </w:tcMar>
          </w:tcPr>
          <w:p>
            <w:pPr>
              <w:spacing w:after="0"/>
            </w:pPr>
            <w:r>
              <w:rPr>
                <w:sz w:val="20"/>
              </w:rPr>
              <w:t>Central Processing Unit</w:t>
            </w:r>
          </w:p>
        </w:tc>
      </w:tr>
      <w:tr>
        <w:tc>
          <w:tcPr>
            <w:tcW w:type="dxa" w:w="4514"/>
            <w:tcMar>
              <w:top w:w="40" w:type="dxa"/>
              <w:bottom w:w="40" w:type="dxa"/>
              <w:left w:w="60" w:type="dxa"/>
              <w:right w:w="60" w:type="dxa"/>
            </w:tcMar>
          </w:tcPr>
          <w:p>
            <w:pPr>
              <w:spacing w:after="0"/>
            </w:pPr>
            <w:r>
              <w:rPr>
                <w:b/>
                <w:color w:val="1E3A8A"/>
                <w:sz w:val="20"/>
              </w:rPr>
              <w:t>DAG</w:t>
            </w:r>
          </w:p>
        </w:tc>
        <w:tc>
          <w:tcPr>
            <w:tcW w:type="dxa" w:w="4514"/>
            <w:tcMar>
              <w:top w:w="40" w:type="dxa"/>
              <w:bottom w:w="40" w:type="dxa"/>
              <w:left w:w="60" w:type="dxa"/>
              <w:right w:w="60" w:type="dxa"/>
            </w:tcMar>
          </w:tcPr>
          <w:p>
            <w:pPr>
              <w:spacing w:after="0"/>
            </w:pPr>
            <w:r>
              <w:rPr>
                <w:sz w:val="20"/>
              </w:rPr>
              <w:t>Directed Acyclic Graph</w:t>
            </w:r>
          </w:p>
        </w:tc>
      </w:tr>
      <w:tr>
        <w:tc>
          <w:tcPr>
            <w:tcW w:type="dxa" w:w="4514"/>
            <w:tcMar>
              <w:top w:w="40" w:type="dxa"/>
              <w:bottom w:w="40" w:type="dxa"/>
              <w:left w:w="60" w:type="dxa"/>
              <w:right w:w="60" w:type="dxa"/>
            </w:tcMar>
          </w:tcPr>
          <w:p>
            <w:pPr>
              <w:spacing w:after="0"/>
            </w:pPr>
            <w:r>
              <w:rPr>
                <w:b/>
                <w:color w:val="1E3A8A"/>
                <w:sz w:val="20"/>
              </w:rPr>
              <w:t>DBMS</w:t>
            </w:r>
          </w:p>
        </w:tc>
        <w:tc>
          <w:tcPr>
            <w:tcW w:type="dxa" w:w="4514"/>
            <w:tcMar>
              <w:top w:w="40" w:type="dxa"/>
              <w:bottom w:w="40" w:type="dxa"/>
              <w:left w:w="60" w:type="dxa"/>
              <w:right w:w="60" w:type="dxa"/>
            </w:tcMar>
          </w:tcPr>
          <w:p>
            <w:pPr>
              <w:spacing w:after="0"/>
            </w:pPr>
            <w:r>
              <w:rPr>
                <w:sz w:val="20"/>
              </w:rPr>
              <w:t>Database Management System</w:t>
            </w:r>
          </w:p>
        </w:tc>
      </w:tr>
      <w:tr>
        <w:tc>
          <w:tcPr>
            <w:tcW w:type="dxa" w:w="4514"/>
            <w:tcMar>
              <w:top w:w="40" w:type="dxa"/>
              <w:bottom w:w="40" w:type="dxa"/>
              <w:left w:w="60" w:type="dxa"/>
              <w:right w:w="60" w:type="dxa"/>
            </w:tcMar>
          </w:tcPr>
          <w:p>
            <w:pPr>
              <w:spacing w:after="0"/>
            </w:pPr>
            <w:r>
              <w:rPr>
                <w:b/>
                <w:color w:val="1E3A8A"/>
                <w:sz w:val="20"/>
              </w:rPr>
              <w:t>DOM</w:t>
            </w:r>
          </w:p>
        </w:tc>
        <w:tc>
          <w:tcPr>
            <w:tcW w:type="dxa" w:w="4514"/>
            <w:tcMar>
              <w:top w:w="40" w:type="dxa"/>
              <w:bottom w:w="40" w:type="dxa"/>
              <w:left w:w="60" w:type="dxa"/>
              <w:right w:w="60" w:type="dxa"/>
            </w:tcMar>
          </w:tcPr>
          <w:p>
            <w:pPr>
              <w:spacing w:after="0"/>
            </w:pPr>
            <w:r>
              <w:rPr>
                <w:sz w:val="20"/>
              </w:rPr>
              <w:t>Document Object Model</w:t>
            </w:r>
          </w:p>
        </w:tc>
      </w:tr>
      <w:tr>
        <w:tc>
          <w:tcPr>
            <w:tcW w:type="dxa" w:w="4514"/>
            <w:tcMar>
              <w:top w:w="40" w:type="dxa"/>
              <w:bottom w:w="40" w:type="dxa"/>
              <w:left w:w="60" w:type="dxa"/>
              <w:right w:w="60" w:type="dxa"/>
            </w:tcMar>
          </w:tcPr>
          <w:p>
            <w:pPr>
              <w:spacing w:after="0"/>
            </w:pPr>
            <w:r>
              <w:rPr>
                <w:b/>
                <w:color w:val="1E3A8A"/>
                <w:sz w:val="20"/>
              </w:rPr>
              <w:t>DSA</w:t>
            </w:r>
          </w:p>
        </w:tc>
        <w:tc>
          <w:tcPr>
            <w:tcW w:type="dxa" w:w="4514"/>
            <w:tcMar>
              <w:top w:w="40" w:type="dxa"/>
              <w:bottom w:w="40" w:type="dxa"/>
              <w:left w:w="60" w:type="dxa"/>
              <w:right w:w="60" w:type="dxa"/>
            </w:tcMar>
          </w:tcPr>
          <w:p>
            <w:pPr>
              <w:spacing w:after="0"/>
            </w:pPr>
            <w:r>
              <w:rPr>
                <w:sz w:val="20"/>
              </w:rPr>
              <w:t>Data Structures and Algorithms</w:t>
            </w:r>
          </w:p>
        </w:tc>
      </w:tr>
      <w:tr>
        <w:tc>
          <w:tcPr>
            <w:tcW w:type="dxa" w:w="4514"/>
            <w:tcMar>
              <w:top w:w="40" w:type="dxa"/>
              <w:bottom w:w="40" w:type="dxa"/>
              <w:left w:w="60" w:type="dxa"/>
              <w:right w:w="60" w:type="dxa"/>
            </w:tcMar>
          </w:tcPr>
          <w:p>
            <w:pPr>
              <w:spacing w:after="0"/>
            </w:pPr>
            <w:r>
              <w:rPr>
                <w:b/>
                <w:color w:val="1E3A8A"/>
                <w:sz w:val="20"/>
              </w:rPr>
              <w:t>ER</w:t>
            </w:r>
          </w:p>
        </w:tc>
        <w:tc>
          <w:tcPr>
            <w:tcW w:type="dxa" w:w="4514"/>
            <w:tcMar>
              <w:top w:w="40" w:type="dxa"/>
              <w:bottom w:w="40" w:type="dxa"/>
              <w:left w:w="60" w:type="dxa"/>
              <w:right w:w="60" w:type="dxa"/>
            </w:tcMar>
          </w:tcPr>
          <w:p>
            <w:pPr>
              <w:spacing w:after="0"/>
            </w:pPr>
            <w:r>
              <w:rPr>
                <w:sz w:val="20"/>
              </w:rPr>
              <w:t>Entity-Relationship</w:t>
            </w:r>
          </w:p>
        </w:tc>
      </w:tr>
      <w:tr>
        <w:tc>
          <w:tcPr>
            <w:tcW w:type="dxa" w:w="4514"/>
            <w:tcMar>
              <w:top w:w="40" w:type="dxa"/>
              <w:bottom w:w="40" w:type="dxa"/>
              <w:left w:w="60" w:type="dxa"/>
              <w:right w:w="60" w:type="dxa"/>
            </w:tcMar>
          </w:tcPr>
          <w:p>
            <w:pPr>
              <w:spacing w:after="0"/>
            </w:pPr>
            <w:r>
              <w:rPr>
                <w:b/>
                <w:color w:val="1E3A8A"/>
                <w:sz w:val="20"/>
              </w:rPr>
              <w:t>HTML</w:t>
            </w:r>
          </w:p>
        </w:tc>
        <w:tc>
          <w:tcPr>
            <w:tcW w:type="dxa" w:w="4514"/>
            <w:tcMar>
              <w:top w:w="40" w:type="dxa"/>
              <w:bottom w:w="40" w:type="dxa"/>
              <w:left w:w="60" w:type="dxa"/>
              <w:right w:w="60" w:type="dxa"/>
            </w:tcMar>
          </w:tcPr>
          <w:p>
            <w:pPr>
              <w:spacing w:after="0"/>
            </w:pPr>
            <w:r>
              <w:rPr>
                <w:sz w:val="20"/>
              </w:rPr>
              <w:t>HyperText Markup Language</w:t>
            </w:r>
          </w:p>
        </w:tc>
      </w:tr>
      <w:tr>
        <w:tc>
          <w:tcPr>
            <w:tcW w:type="dxa" w:w="4514"/>
            <w:tcMar>
              <w:top w:w="40" w:type="dxa"/>
              <w:bottom w:w="40" w:type="dxa"/>
              <w:left w:w="60" w:type="dxa"/>
              <w:right w:w="60" w:type="dxa"/>
            </w:tcMar>
          </w:tcPr>
          <w:p>
            <w:pPr>
              <w:spacing w:after="0"/>
            </w:pPr>
            <w:r>
              <w:rPr>
                <w:b/>
                <w:color w:val="1E3A8A"/>
                <w:sz w:val="20"/>
              </w:rPr>
              <w:t>HTTP</w:t>
            </w:r>
          </w:p>
        </w:tc>
        <w:tc>
          <w:tcPr>
            <w:tcW w:type="dxa" w:w="4514"/>
            <w:tcMar>
              <w:top w:w="40" w:type="dxa"/>
              <w:bottom w:w="40" w:type="dxa"/>
              <w:left w:w="60" w:type="dxa"/>
              <w:right w:w="60" w:type="dxa"/>
            </w:tcMar>
          </w:tcPr>
          <w:p>
            <w:pPr>
              <w:spacing w:after="0"/>
            </w:pPr>
            <w:r>
              <w:rPr>
                <w:sz w:val="20"/>
              </w:rPr>
              <w:t>HyperText Transfer Protocol</w:t>
            </w:r>
          </w:p>
        </w:tc>
      </w:tr>
      <w:tr>
        <w:tc>
          <w:tcPr>
            <w:tcW w:type="dxa" w:w="4514"/>
            <w:tcMar>
              <w:top w:w="40" w:type="dxa"/>
              <w:bottom w:w="40" w:type="dxa"/>
              <w:left w:w="60" w:type="dxa"/>
              <w:right w:w="60" w:type="dxa"/>
            </w:tcMar>
          </w:tcPr>
          <w:p>
            <w:pPr>
              <w:spacing w:after="0"/>
            </w:pPr>
            <w:r>
              <w:rPr>
                <w:b/>
                <w:color w:val="1E3A8A"/>
                <w:sz w:val="20"/>
              </w:rPr>
              <w:t>IDE</w:t>
            </w:r>
          </w:p>
        </w:tc>
        <w:tc>
          <w:tcPr>
            <w:tcW w:type="dxa" w:w="4514"/>
            <w:tcMar>
              <w:top w:w="40" w:type="dxa"/>
              <w:bottom w:w="40" w:type="dxa"/>
              <w:left w:w="60" w:type="dxa"/>
              <w:right w:w="60" w:type="dxa"/>
            </w:tcMar>
          </w:tcPr>
          <w:p>
            <w:pPr>
              <w:spacing w:after="0"/>
            </w:pPr>
            <w:r>
              <w:rPr>
                <w:sz w:val="20"/>
              </w:rPr>
              <w:t>Integrated Development Environment</w:t>
            </w:r>
          </w:p>
        </w:tc>
      </w:tr>
      <w:tr>
        <w:tc>
          <w:tcPr>
            <w:tcW w:type="dxa" w:w="4514"/>
            <w:tcMar>
              <w:top w:w="40" w:type="dxa"/>
              <w:bottom w:w="40" w:type="dxa"/>
              <w:left w:w="60" w:type="dxa"/>
              <w:right w:w="60" w:type="dxa"/>
            </w:tcMar>
          </w:tcPr>
          <w:p>
            <w:pPr>
              <w:spacing w:after="0"/>
            </w:pPr>
            <w:r>
              <w:rPr>
                <w:b/>
                <w:color w:val="1E3A8A"/>
                <w:sz w:val="20"/>
              </w:rPr>
              <w:t>IPC</w:t>
            </w:r>
          </w:p>
        </w:tc>
        <w:tc>
          <w:tcPr>
            <w:tcW w:type="dxa" w:w="4514"/>
            <w:tcMar>
              <w:top w:w="40" w:type="dxa"/>
              <w:bottom w:w="40" w:type="dxa"/>
              <w:left w:w="60" w:type="dxa"/>
              <w:right w:w="60" w:type="dxa"/>
            </w:tcMar>
          </w:tcPr>
          <w:p>
            <w:pPr>
              <w:spacing w:after="0"/>
            </w:pPr>
            <w:r>
              <w:rPr>
                <w:sz w:val="20"/>
              </w:rPr>
              <w:t>Inter-Process Communication</w:t>
            </w:r>
          </w:p>
        </w:tc>
      </w:tr>
      <w:tr>
        <w:tc>
          <w:tcPr>
            <w:tcW w:type="dxa" w:w="4514"/>
            <w:tcMar>
              <w:top w:w="40" w:type="dxa"/>
              <w:bottom w:w="40" w:type="dxa"/>
              <w:left w:w="60" w:type="dxa"/>
              <w:right w:w="60" w:type="dxa"/>
            </w:tcMar>
          </w:tcPr>
          <w:p>
            <w:pPr>
              <w:spacing w:after="0"/>
            </w:pPr>
            <w:r>
              <w:rPr>
                <w:b/>
                <w:color w:val="1E3A8A"/>
                <w:sz w:val="20"/>
              </w:rPr>
              <w:t>JSON</w:t>
            </w:r>
          </w:p>
        </w:tc>
        <w:tc>
          <w:tcPr>
            <w:tcW w:type="dxa" w:w="4514"/>
            <w:tcMar>
              <w:top w:w="40" w:type="dxa"/>
              <w:bottom w:w="40" w:type="dxa"/>
              <w:left w:w="60" w:type="dxa"/>
              <w:right w:w="60" w:type="dxa"/>
            </w:tcMar>
          </w:tcPr>
          <w:p>
            <w:pPr>
              <w:spacing w:after="0"/>
            </w:pPr>
            <w:r>
              <w:rPr>
                <w:sz w:val="20"/>
              </w:rPr>
              <w:t>JavaScript Object Notation</w:t>
            </w:r>
          </w:p>
        </w:tc>
      </w:tr>
      <w:tr>
        <w:tc>
          <w:tcPr>
            <w:tcW w:type="dxa" w:w="4514"/>
            <w:tcMar>
              <w:top w:w="40" w:type="dxa"/>
              <w:bottom w:w="40" w:type="dxa"/>
              <w:left w:w="60" w:type="dxa"/>
              <w:right w:w="60" w:type="dxa"/>
            </w:tcMar>
          </w:tcPr>
          <w:p>
            <w:pPr>
              <w:spacing w:after="0"/>
            </w:pPr>
            <w:r>
              <w:rPr>
                <w:b/>
                <w:color w:val="1E3A8A"/>
                <w:sz w:val="20"/>
              </w:rPr>
              <w:t>JWT</w:t>
            </w:r>
          </w:p>
        </w:tc>
        <w:tc>
          <w:tcPr>
            <w:tcW w:type="dxa" w:w="4514"/>
            <w:tcMar>
              <w:top w:w="40" w:type="dxa"/>
              <w:bottom w:w="40" w:type="dxa"/>
              <w:left w:w="60" w:type="dxa"/>
              <w:right w:w="60" w:type="dxa"/>
            </w:tcMar>
          </w:tcPr>
          <w:p>
            <w:pPr>
              <w:spacing w:after="0"/>
            </w:pPr>
            <w:r>
              <w:rPr>
                <w:sz w:val="20"/>
              </w:rPr>
              <w:t>JSON Web Token</w:t>
            </w:r>
          </w:p>
        </w:tc>
      </w:tr>
      <w:tr>
        <w:tc>
          <w:tcPr>
            <w:tcW w:type="dxa" w:w="4514"/>
            <w:tcMar>
              <w:top w:w="40" w:type="dxa"/>
              <w:bottom w:w="40" w:type="dxa"/>
              <w:left w:w="60" w:type="dxa"/>
              <w:right w:w="60" w:type="dxa"/>
            </w:tcMar>
          </w:tcPr>
          <w:p>
            <w:pPr>
              <w:spacing w:after="0"/>
            </w:pPr>
            <w:r>
              <w:rPr>
                <w:b/>
                <w:color w:val="1E3A8A"/>
                <w:sz w:val="20"/>
              </w:rPr>
              <w:t>LLM</w:t>
            </w:r>
          </w:p>
        </w:tc>
        <w:tc>
          <w:tcPr>
            <w:tcW w:type="dxa" w:w="4514"/>
            <w:tcMar>
              <w:top w:w="40" w:type="dxa"/>
              <w:bottom w:w="40" w:type="dxa"/>
              <w:left w:w="60" w:type="dxa"/>
              <w:right w:w="60" w:type="dxa"/>
            </w:tcMar>
          </w:tcPr>
          <w:p>
            <w:pPr>
              <w:spacing w:after="0"/>
            </w:pPr>
            <w:r>
              <w:rPr>
                <w:sz w:val="20"/>
              </w:rPr>
              <w:t>Large Language Model</w:t>
            </w:r>
          </w:p>
        </w:tc>
      </w:tr>
      <w:tr>
        <w:tc>
          <w:tcPr>
            <w:tcW w:type="dxa" w:w="4514"/>
            <w:tcMar>
              <w:top w:w="40" w:type="dxa"/>
              <w:bottom w:w="40" w:type="dxa"/>
              <w:left w:w="60" w:type="dxa"/>
              <w:right w:w="60" w:type="dxa"/>
            </w:tcMar>
          </w:tcPr>
          <w:p>
            <w:pPr>
              <w:spacing w:after="0"/>
            </w:pPr>
            <w:r>
              <w:rPr>
                <w:b/>
                <w:color w:val="1E3A8A"/>
                <w:sz w:val="20"/>
              </w:rPr>
              <w:t>MLOps</w:t>
            </w:r>
          </w:p>
        </w:tc>
        <w:tc>
          <w:tcPr>
            <w:tcW w:type="dxa" w:w="4514"/>
            <w:tcMar>
              <w:top w:w="40" w:type="dxa"/>
              <w:bottom w:w="40" w:type="dxa"/>
              <w:left w:w="60" w:type="dxa"/>
              <w:right w:w="60" w:type="dxa"/>
            </w:tcMar>
          </w:tcPr>
          <w:p>
            <w:pPr>
              <w:spacing w:after="0"/>
            </w:pPr>
            <w:r>
              <w:rPr>
                <w:sz w:val="20"/>
              </w:rPr>
              <w:t>Machine Learning Operations</w:t>
            </w:r>
          </w:p>
        </w:tc>
      </w:tr>
      <w:tr>
        <w:tc>
          <w:tcPr>
            <w:tcW w:type="dxa" w:w="4514"/>
            <w:tcMar>
              <w:top w:w="40" w:type="dxa"/>
              <w:bottom w:w="40" w:type="dxa"/>
              <w:left w:w="60" w:type="dxa"/>
              <w:right w:w="60" w:type="dxa"/>
            </w:tcMar>
          </w:tcPr>
          <w:p>
            <w:pPr>
              <w:spacing w:after="0"/>
            </w:pPr>
            <w:r>
              <w:rPr>
                <w:b/>
                <w:color w:val="1E3A8A"/>
                <w:sz w:val="20"/>
              </w:rPr>
              <w:t>MOOC</w:t>
            </w:r>
          </w:p>
        </w:tc>
        <w:tc>
          <w:tcPr>
            <w:tcW w:type="dxa" w:w="4514"/>
            <w:tcMar>
              <w:top w:w="40" w:type="dxa"/>
              <w:bottom w:w="40" w:type="dxa"/>
              <w:left w:w="60" w:type="dxa"/>
              <w:right w:w="60" w:type="dxa"/>
            </w:tcMar>
          </w:tcPr>
          <w:p>
            <w:pPr>
              <w:spacing w:after="0"/>
            </w:pPr>
            <w:r>
              <w:rPr>
                <w:sz w:val="20"/>
              </w:rPr>
              <w:t>Massive Open Online Course</w:t>
            </w:r>
          </w:p>
        </w:tc>
      </w:tr>
      <w:tr>
        <w:tc>
          <w:tcPr>
            <w:tcW w:type="dxa" w:w="4514"/>
            <w:tcMar>
              <w:top w:w="40" w:type="dxa"/>
              <w:bottom w:w="40" w:type="dxa"/>
              <w:left w:w="60" w:type="dxa"/>
              <w:right w:w="60" w:type="dxa"/>
            </w:tcMar>
          </w:tcPr>
          <w:p>
            <w:pPr>
              <w:spacing w:after="0"/>
            </w:pPr>
            <w:r>
              <w:rPr>
                <w:b/>
                <w:color w:val="1E3A8A"/>
                <w:sz w:val="20"/>
              </w:rPr>
              <w:t>MVP</w:t>
            </w:r>
          </w:p>
        </w:tc>
        <w:tc>
          <w:tcPr>
            <w:tcW w:type="dxa" w:w="4514"/>
            <w:tcMar>
              <w:top w:w="40" w:type="dxa"/>
              <w:bottom w:w="40" w:type="dxa"/>
              <w:left w:w="60" w:type="dxa"/>
              <w:right w:w="60" w:type="dxa"/>
            </w:tcMar>
          </w:tcPr>
          <w:p>
            <w:pPr>
              <w:spacing w:after="0"/>
            </w:pPr>
            <w:r>
              <w:rPr>
                <w:sz w:val="20"/>
              </w:rPr>
              <w:t>Minimum Viable Product</w:t>
            </w:r>
          </w:p>
        </w:tc>
      </w:tr>
      <w:tr>
        <w:tc>
          <w:tcPr>
            <w:tcW w:type="dxa" w:w="4514"/>
            <w:tcMar>
              <w:top w:w="40" w:type="dxa"/>
              <w:bottom w:w="40" w:type="dxa"/>
              <w:left w:w="60" w:type="dxa"/>
              <w:right w:w="60" w:type="dxa"/>
            </w:tcMar>
          </w:tcPr>
          <w:p>
            <w:pPr>
              <w:spacing w:after="0"/>
            </w:pPr>
            <w:r>
              <w:rPr>
                <w:b/>
                <w:color w:val="1E3A8A"/>
                <w:sz w:val="20"/>
              </w:rPr>
              <w:t>NFR</w:t>
            </w:r>
          </w:p>
        </w:tc>
        <w:tc>
          <w:tcPr>
            <w:tcW w:type="dxa" w:w="4514"/>
            <w:tcMar>
              <w:top w:w="40" w:type="dxa"/>
              <w:bottom w:w="40" w:type="dxa"/>
              <w:left w:w="60" w:type="dxa"/>
              <w:right w:w="60" w:type="dxa"/>
            </w:tcMar>
          </w:tcPr>
          <w:p>
            <w:pPr>
              <w:spacing w:after="0"/>
            </w:pPr>
            <w:r>
              <w:rPr>
                <w:sz w:val="20"/>
              </w:rPr>
              <w:t>Non-Functional Requirement</w:t>
            </w:r>
          </w:p>
        </w:tc>
      </w:tr>
      <w:tr>
        <w:tc>
          <w:tcPr>
            <w:tcW w:type="dxa" w:w="4514"/>
            <w:tcMar>
              <w:top w:w="40" w:type="dxa"/>
              <w:bottom w:w="40" w:type="dxa"/>
              <w:left w:w="60" w:type="dxa"/>
              <w:right w:w="60" w:type="dxa"/>
            </w:tcMar>
          </w:tcPr>
          <w:p>
            <w:pPr>
              <w:spacing w:after="0"/>
            </w:pPr>
            <w:r>
              <w:rPr>
                <w:b/>
                <w:color w:val="1E3A8A"/>
                <w:sz w:val="20"/>
              </w:rPr>
              <w:t>ORM</w:t>
            </w:r>
          </w:p>
        </w:tc>
        <w:tc>
          <w:tcPr>
            <w:tcW w:type="dxa" w:w="4514"/>
            <w:tcMar>
              <w:top w:w="40" w:type="dxa"/>
              <w:bottom w:w="40" w:type="dxa"/>
              <w:left w:w="60" w:type="dxa"/>
              <w:right w:w="60" w:type="dxa"/>
            </w:tcMar>
          </w:tcPr>
          <w:p>
            <w:pPr>
              <w:spacing w:after="0"/>
            </w:pPr>
            <w:r>
              <w:rPr>
                <w:sz w:val="20"/>
              </w:rPr>
              <w:t>Object-Relational Mapping</w:t>
            </w:r>
          </w:p>
        </w:tc>
      </w:tr>
      <w:tr>
        <w:tc>
          <w:tcPr>
            <w:tcW w:type="dxa" w:w="4514"/>
            <w:tcMar>
              <w:top w:w="40" w:type="dxa"/>
              <w:bottom w:w="40" w:type="dxa"/>
              <w:left w:w="60" w:type="dxa"/>
              <w:right w:w="60" w:type="dxa"/>
            </w:tcMar>
          </w:tcPr>
          <w:p>
            <w:pPr>
              <w:spacing w:after="0"/>
            </w:pPr>
            <w:r>
              <w:rPr>
                <w:b/>
                <w:color w:val="1E3A8A"/>
                <w:sz w:val="20"/>
              </w:rPr>
              <w:t>OS</w:t>
            </w:r>
          </w:p>
        </w:tc>
        <w:tc>
          <w:tcPr>
            <w:tcW w:type="dxa" w:w="4514"/>
            <w:tcMar>
              <w:top w:w="40" w:type="dxa"/>
              <w:bottom w:w="40" w:type="dxa"/>
              <w:left w:w="60" w:type="dxa"/>
              <w:right w:w="60" w:type="dxa"/>
            </w:tcMar>
          </w:tcPr>
          <w:p>
            <w:pPr>
              <w:spacing w:after="0"/>
            </w:pPr>
            <w:r>
              <w:rPr>
                <w:sz w:val="20"/>
              </w:rPr>
              <w:t>Operating System</w:t>
            </w:r>
          </w:p>
        </w:tc>
      </w:tr>
      <w:tr>
        <w:tc>
          <w:tcPr>
            <w:tcW w:type="dxa" w:w="4514"/>
            <w:tcMar>
              <w:top w:w="40" w:type="dxa"/>
              <w:bottom w:w="40" w:type="dxa"/>
              <w:left w:w="60" w:type="dxa"/>
              <w:right w:w="60" w:type="dxa"/>
            </w:tcMar>
          </w:tcPr>
          <w:p>
            <w:pPr>
              <w:spacing w:after="0"/>
            </w:pPr>
            <w:r>
              <w:rPr>
                <w:b/>
                <w:color w:val="1E3A8A"/>
                <w:sz w:val="20"/>
              </w:rPr>
              <w:t>PR</w:t>
            </w:r>
          </w:p>
        </w:tc>
        <w:tc>
          <w:tcPr>
            <w:tcW w:type="dxa" w:w="4514"/>
            <w:tcMar>
              <w:top w:w="40" w:type="dxa"/>
              <w:bottom w:w="40" w:type="dxa"/>
              <w:left w:w="60" w:type="dxa"/>
              <w:right w:w="60" w:type="dxa"/>
            </w:tcMar>
          </w:tcPr>
          <w:p>
            <w:pPr>
              <w:spacing w:after="0"/>
            </w:pPr>
            <w:r>
              <w:rPr>
                <w:sz w:val="20"/>
              </w:rPr>
              <w:t>Pull Request</w:t>
            </w:r>
          </w:p>
        </w:tc>
      </w:tr>
      <w:tr>
        <w:tc>
          <w:tcPr>
            <w:tcW w:type="dxa" w:w="4514"/>
            <w:tcMar>
              <w:top w:w="40" w:type="dxa"/>
              <w:bottom w:w="40" w:type="dxa"/>
              <w:left w:w="60" w:type="dxa"/>
              <w:right w:w="60" w:type="dxa"/>
            </w:tcMar>
          </w:tcPr>
          <w:p>
            <w:pPr>
              <w:spacing w:after="0"/>
            </w:pPr>
            <w:r>
              <w:rPr>
                <w:b/>
                <w:color w:val="1E3A8A"/>
                <w:sz w:val="20"/>
              </w:rPr>
              <w:t>QA</w:t>
            </w:r>
          </w:p>
        </w:tc>
        <w:tc>
          <w:tcPr>
            <w:tcW w:type="dxa" w:w="4514"/>
            <w:tcMar>
              <w:top w:w="40" w:type="dxa"/>
              <w:bottom w:w="40" w:type="dxa"/>
              <w:left w:w="60" w:type="dxa"/>
              <w:right w:w="60" w:type="dxa"/>
            </w:tcMar>
          </w:tcPr>
          <w:p>
            <w:pPr>
              <w:spacing w:after="0"/>
            </w:pPr>
            <w:r>
              <w:rPr>
                <w:sz w:val="20"/>
              </w:rPr>
              <w:t>Quality Assurance</w:t>
            </w:r>
          </w:p>
        </w:tc>
      </w:tr>
      <w:tr>
        <w:tc>
          <w:tcPr>
            <w:tcW w:type="dxa" w:w="4514"/>
            <w:tcMar>
              <w:top w:w="40" w:type="dxa"/>
              <w:bottom w:w="40" w:type="dxa"/>
              <w:left w:w="60" w:type="dxa"/>
              <w:right w:w="60" w:type="dxa"/>
            </w:tcMar>
          </w:tcPr>
          <w:p>
            <w:pPr>
              <w:spacing w:after="0"/>
            </w:pPr>
            <w:r>
              <w:rPr>
                <w:b/>
                <w:color w:val="1E3A8A"/>
                <w:sz w:val="20"/>
              </w:rPr>
              <w:t>RAM</w:t>
            </w:r>
          </w:p>
        </w:tc>
        <w:tc>
          <w:tcPr>
            <w:tcW w:type="dxa" w:w="4514"/>
            <w:tcMar>
              <w:top w:w="40" w:type="dxa"/>
              <w:bottom w:w="40" w:type="dxa"/>
              <w:left w:w="60" w:type="dxa"/>
              <w:right w:w="60" w:type="dxa"/>
            </w:tcMar>
          </w:tcPr>
          <w:p>
            <w:pPr>
              <w:spacing w:after="0"/>
            </w:pPr>
            <w:r>
              <w:rPr>
                <w:sz w:val="20"/>
              </w:rPr>
              <w:t>Random Access Memory</w:t>
            </w:r>
          </w:p>
        </w:tc>
      </w:tr>
      <w:tr>
        <w:tc>
          <w:tcPr>
            <w:tcW w:type="dxa" w:w="4514"/>
            <w:tcMar>
              <w:top w:w="40" w:type="dxa"/>
              <w:bottom w:w="40" w:type="dxa"/>
              <w:left w:w="60" w:type="dxa"/>
              <w:right w:w="60" w:type="dxa"/>
            </w:tcMar>
          </w:tcPr>
          <w:p>
            <w:pPr>
              <w:spacing w:after="0"/>
            </w:pPr>
            <w:r>
              <w:rPr>
                <w:b/>
                <w:color w:val="1E3A8A"/>
                <w:sz w:val="20"/>
              </w:rPr>
              <w:t>RBAC</w:t>
            </w:r>
          </w:p>
        </w:tc>
        <w:tc>
          <w:tcPr>
            <w:tcW w:type="dxa" w:w="4514"/>
            <w:tcMar>
              <w:top w:w="40" w:type="dxa"/>
              <w:bottom w:w="40" w:type="dxa"/>
              <w:left w:w="60" w:type="dxa"/>
              <w:right w:w="60" w:type="dxa"/>
            </w:tcMar>
          </w:tcPr>
          <w:p>
            <w:pPr>
              <w:spacing w:after="0"/>
            </w:pPr>
            <w:r>
              <w:rPr>
                <w:sz w:val="20"/>
              </w:rPr>
              <w:t>Role-Based Access Control</w:t>
            </w:r>
          </w:p>
        </w:tc>
      </w:tr>
      <w:tr>
        <w:tc>
          <w:tcPr>
            <w:tcW w:type="dxa" w:w="4514"/>
            <w:tcMar>
              <w:top w:w="40" w:type="dxa"/>
              <w:bottom w:w="40" w:type="dxa"/>
              <w:left w:w="60" w:type="dxa"/>
              <w:right w:w="60" w:type="dxa"/>
            </w:tcMar>
          </w:tcPr>
          <w:p>
            <w:pPr>
              <w:spacing w:after="0"/>
            </w:pPr>
            <w:r>
              <w:rPr>
                <w:b/>
                <w:color w:val="1E3A8A"/>
                <w:sz w:val="20"/>
              </w:rPr>
              <w:t>REST</w:t>
            </w:r>
          </w:p>
        </w:tc>
        <w:tc>
          <w:tcPr>
            <w:tcW w:type="dxa" w:w="4514"/>
            <w:tcMar>
              <w:top w:w="40" w:type="dxa"/>
              <w:bottom w:w="40" w:type="dxa"/>
              <w:left w:w="60" w:type="dxa"/>
              <w:right w:w="60" w:type="dxa"/>
            </w:tcMar>
          </w:tcPr>
          <w:p>
            <w:pPr>
              <w:spacing w:after="0"/>
            </w:pPr>
            <w:r>
              <w:rPr>
                <w:sz w:val="20"/>
              </w:rPr>
              <w:t>Representational State Transfer</w:t>
            </w:r>
          </w:p>
        </w:tc>
      </w:tr>
      <w:tr>
        <w:tc>
          <w:tcPr>
            <w:tcW w:type="dxa" w:w="4514"/>
            <w:tcMar>
              <w:top w:w="40" w:type="dxa"/>
              <w:bottom w:w="40" w:type="dxa"/>
              <w:left w:w="60" w:type="dxa"/>
              <w:right w:w="60" w:type="dxa"/>
            </w:tcMar>
          </w:tcPr>
          <w:p>
            <w:pPr>
              <w:spacing w:after="0"/>
            </w:pPr>
            <w:r>
              <w:rPr>
                <w:b/>
                <w:color w:val="1E3A8A"/>
                <w:sz w:val="20"/>
              </w:rPr>
              <w:t>SHA</w:t>
            </w:r>
          </w:p>
        </w:tc>
        <w:tc>
          <w:tcPr>
            <w:tcW w:type="dxa" w:w="4514"/>
            <w:tcMar>
              <w:top w:w="40" w:type="dxa"/>
              <w:bottom w:w="40" w:type="dxa"/>
              <w:left w:w="60" w:type="dxa"/>
              <w:right w:w="60" w:type="dxa"/>
            </w:tcMar>
          </w:tcPr>
          <w:p>
            <w:pPr>
              <w:spacing w:after="0"/>
            </w:pPr>
            <w:r>
              <w:rPr>
                <w:sz w:val="20"/>
              </w:rPr>
              <w:t>Secure Hash Algorithm</w:t>
            </w:r>
          </w:p>
        </w:tc>
      </w:tr>
      <w:tr>
        <w:tc>
          <w:tcPr>
            <w:tcW w:type="dxa" w:w="4514"/>
            <w:tcMar>
              <w:top w:w="40" w:type="dxa"/>
              <w:bottom w:w="40" w:type="dxa"/>
              <w:left w:w="60" w:type="dxa"/>
              <w:right w:w="60" w:type="dxa"/>
            </w:tcMar>
          </w:tcPr>
          <w:p>
            <w:pPr>
              <w:spacing w:after="0"/>
            </w:pPr>
            <w:r>
              <w:rPr>
                <w:b/>
                <w:color w:val="1E3A8A"/>
                <w:sz w:val="20"/>
              </w:rPr>
              <w:t>SSR</w:t>
            </w:r>
          </w:p>
        </w:tc>
        <w:tc>
          <w:tcPr>
            <w:tcW w:type="dxa" w:w="4514"/>
            <w:tcMar>
              <w:top w:w="40" w:type="dxa"/>
              <w:bottom w:w="40" w:type="dxa"/>
              <w:left w:w="60" w:type="dxa"/>
              <w:right w:w="60" w:type="dxa"/>
            </w:tcMar>
          </w:tcPr>
          <w:p>
            <w:pPr>
              <w:spacing w:after="0"/>
            </w:pPr>
            <w:r>
              <w:rPr>
                <w:sz w:val="20"/>
              </w:rPr>
              <w:t>Server-Side Rendering</w:t>
            </w:r>
          </w:p>
        </w:tc>
      </w:tr>
      <w:tr>
        <w:tc>
          <w:tcPr>
            <w:tcW w:type="dxa" w:w="4514"/>
            <w:tcMar>
              <w:top w:w="40" w:type="dxa"/>
              <w:bottom w:w="40" w:type="dxa"/>
              <w:left w:w="60" w:type="dxa"/>
              <w:right w:w="60" w:type="dxa"/>
            </w:tcMar>
          </w:tcPr>
          <w:p>
            <w:pPr>
              <w:spacing w:after="0"/>
            </w:pPr>
            <w:r>
              <w:rPr>
                <w:b/>
                <w:color w:val="1E3A8A"/>
                <w:sz w:val="20"/>
              </w:rPr>
              <w:t>TLS</w:t>
            </w:r>
          </w:p>
        </w:tc>
        <w:tc>
          <w:tcPr>
            <w:tcW w:type="dxa" w:w="4514"/>
            <w:tcMar>
              <w:top w:w="40" w:type="dxa"/>
              <w:bottom w:w="40" w:type="dxa"/>
              <w:left w:w="60" w:type="dxa"/>
              <w:right w:w="60" w:type="dxa"/>
            </w:tcMar>
          </w:tcPr>
          <w:p>
            <w:pPr>
              <w:spacing w:after="0"/>
            </w:pPr>
            <w:r>
              <w:rPr>
                <w:sz w:val="20"/>
              </w:rPr>
              <w:t>Transport Layer Security</w:t>
            </w:r>
          </w:p>
        </w:tc>
      </w:tr>
      <w:tr>
        <w:tc>
          <w:tcPr>
            <w:tcW w:type="dxa" w:w="4514"/>
            <w:tcMar>
              <w:top w:w="40" w:type="dxa"/>
              <w:bottom w:w="40" w:type="dxa"/>
              <w:left w:w="60" w:type="dxa"/>
              <w:right w:w="60" w:type="dxa"/>
            </w:tcMar>
          </w:tcPr>
          <w:p>
            <w:pPr>
              <w:spacing w:after="0"/>
            </w:pPr>
            <w:r>
              <w:rPr>
                <w:b/>
                <w:color w:val="1E3A8A"/>
                <w:sz w:val="20"/>
              </w:rPr>
              <w:t>UI</w:t>
            </w:r>
          </w:p>
        </w:tc>
        <w:tc>
          <w:tcPr>
            <w:tcW w:type="dxa" w:w="4514"/>
            <w:tcMar>
              <w:top w:w="40" w:type="dxa"/>
              <w:bottom w:w="40" w:type="dxa"/>
              <w:left w:w="60" w:type="dxa"/>
              <w:right w:w="60" w:type="dxa"/>
            </w:tcMar>
          </w:tcPr>
          <w:p>
            <w:pPr>
              <w:spacing w:after="0"/>
            </w:pPr>
            <w:r>
              <w:rPr>
                <w:sz w:val="20"/>
              </w:rPr>
              <w:t>User Interface</w:t>
            </w:r>
          </w:p>
        </w:tc>
      </w:tr>
      <w:tr>
        <w:tc>
          <w:tcPr>
            <w:tcW w:type="dxa" w:w="4514"/>
            <w:tcMar>
              <w:top w:w="40" w:type="dxa"/>
              <w:bottom w:w="40" w:type="dxa"/>
              <w:left w:w="60" w:type="dxa"/>
              <w:right w:w="60" w:type="dxa"/>
            </w:tcMar>
          </w:tcPr>
          <w:p>
            <w:pPr>
              <w:spacing w:after="0"/>
            </w:pPr>
            <w:r>
              <w:rPr>
                <w:b/>
                <w:color w:val="1E3A8A"/>
                <w:sz w:val="20"/>
              </w:rPr>
              <w:t>UML</w:t>
            </w:r>
          </w:p>
        </w:tc>
        <w:tc>
          <w:tcPr>
            <w:tcW w:type="dxa" w:w="4514"/>
            <w:tcMar>
              <w:top w:w="40" w:type="dxa"/>
              <w:bottom w:w="40" w:type="dxa"/>
              <w:left w:w="60" w:type="dxa"/>
              <w:right w:w="60" w:type="dxa"/>
            </w:tcMar>
          </w:tcPr>
          <w:p>
            <w:pPr>
              <w:spacing w:after="0"/>
            </w:pPr>
            <w:r>
              <w:rPr>
                <w:sz w:val="20"/>
              </w:rPr>
              <w:t>Unified Modeling Language</w:t>
            </w:r>
          </w:p>
        </w:tc>
      </w:tr>
      <w:tr>
        <w:tc>
          <w:tcPr>
            <w:tcW w:type="dxa" w:w="4514"/>
            <w:tcMar>
              <w:top w:w="40" w:type="dxa"/>
              <w:bottom w:w="40" w:type="dxa"/>
              <w:left w:w="60" w:type="dxa"/>
              <w:right w:w="60" w:type="dxa"/>
            </w:tcMar>
          </w:tcPr>
          <w:p>
            <w:pPr>
              <w:spacing w:after="0"/>
            </w:pPr>
            <w:r>
              <w:rPr>
                <w:b/>
                <w:color w:val="1E3A8A"/>
                <w:sz w:val="20"/>
              </w:rPr>
              <w:t>URL</w:t>
            </w:r>
          </w:p>
        </w:tc>
        <w:tc>
          <w:tcPr>
            <w:tcW w:type="dxa" w:w="4514"/>
            <w:tcMar>
              <w:top w:w="40" w:type="dxa"/>
              <w:bottom w:w="40" w:type="dxa"/>
              <w:left w:w="60" w:type="dxa"/>
              <w:right w:w="60" w:type="dxa"/>
            </w:tcMar>
          </w:tcPr>
          <w:p>
            <w:pPr>
              <w:spacing w:after="0"/>
            </w:pPr>
            <w:r>
              <w:rPr>
                <w:sz w:val="20"/>
              </w:rPr>
              <w:t>Uniform Resource Locator</w:t>
            </w:r>
          </w:p>
        </w:tc>
      </w:tr>
      <w:tr>
        <w:tc>
          <w:tcPr>
            <w:tcW w:type="dxa" w:w="4514"/>
            <w:tcMar>
              <w:top w:w="40" w:type="dxa"/>
              <w:bottom w:w="40" w:type="dxa"/>
              <w:left w:w="60" w:type="dxa"/>
              <w:right w:w="60" w:type="dxa"/>
            </w:tcMar>
          </w:tcPr>
          <w:p>
            <w:pPr>
              <w:spacing w:after="0"/>
            </w:pPr>
            <w:r>
              <w:rPr>
                <w:b/>
                <w:color w:val="1E3A8A"/>
                <w:sz w:val="20"/>
              </w:rPr>
              <w:t>UX</w:t>
            </w:r>
          </w:p>
        </w:tc>
        <w:tc>
          <w:tcPr>
            <w:tcW w:type="dxa" w:w="4514"/>
            <w:tcMar>
              <w:top w:w="40" w:type="dxa"/>
              <w:bottom w:w="40" w:type="dxa"/>
              <w:left w:w="60" w:type="dxa"/>
              <w:right w:w="60" w:type="dxa"/>
            </w:tcMar>
          </w:tcPr>
          <w:p>
            <w:pPr>
              <w:spacing w:after="0"/>
            </w:pPr>
            <w:r>
              <w:rPr>
                <w:sz w:val="20"/>
              </w:rPr>
              <w:t>User Experience</w:t>
            </w:r>
          </w:p>
        </w:tc>
      </w:tr>
      <w:tr>
        <w:tc>
          <w:tcPr>
            <w:tcW w:type="dxa" w:w="4514"/>
            <w:tcMar>
              <w:top w:w="40" w:type="dxa"/>
              <w:bottom w:w="40" w:type="dxa"/>
              <w:left w:w="60" w:type="dxa"/>
              <w:right w:w="60" w:type="dxa"/>
            </w:tcMar>
          </w:tcPr>
          <w:p>
            <w:pPr>
              <w:spacing w:after="0"/>
            </w:pPr>
            <w:r>
              <w:rPr>
                <w:b/>
                <w:color w:val="1E3A8A"/>
                <w:sz w:val="20"/>
              </w:rPr>
              <w:t>VCS</w:t>
            </w:r>
          </w:p>
        </w:tc>
        <w:tc>
          <w:tcPr>
            <w:tcW w:type="dxa" w:w="4514"/>
            <w:tcMar>
              <w:top w:w="40" w:type="dxa"/>
              <w:bottom w:w="40" w:type="dxa"/>
              <w:left w:w="60" w:type="dxa"/>
              <w:right w:w="60" w:type="dxa"/>
            </w:tcMar>
          </w:tcPr>
          <w:p>
            <w:pPr>
              <w:spacing w:after="0"/>
            </w:pPr>
            <w:r>
              <w:rPr>
                <w:sz w:val="20"/>
              </w:rPr>
              <w:t>Version Control System</w:t>
            </w:r>
          </w:p>
        </w:tc>
      </w:tr>
      <w:tr>
        <w:tc>
          <w:tcPr>
            <w:tcW w:type="dxa" w:w="4514"/>
            <w:tcMar>
              <w:top w:w="40" w:type="dxa"/>
              <w:bottom w:w="40" w:type="dxa"/>
              <w:left w:w="60" w:type="dxa"/>
              <w:right w:w="60" w:type="dxa"/>
            </w:tcMar>
          </w:tcPr>
          <w:p>
            <w:pPr>
              <w:spacing w:after="0"/>
            </w:pPr>
            <w:r>
              <w:rPr>
                <w:b/>
                <w:color w:val="1E3A8A"/>
                <w:sz w:val="20"/>
              </w:rPr>
              <w:t>VUS</w:t>
            </w:r>
          </w:p>
        </w:tc>
        <w:tc>
          <w:tcPr>
            <w:tcW w:type="dxa" w:w="4514"/>
            <w:tcMar>
              <w:top w:w="40" w:type="dxa"/>
              <w:bottom w:w="40" w:type="dxa"/>
              <w:left w:w="60" w:type="dxa"/>
              <w:right w:w="60" w:type="dxa"/>
            </w:tcMar>
          </w:tcPr>
          <w:p>
            <w:pPr>
              <w:spacing w:after="0"/>
            </w:pPr>
            <w:r>
              <w:rPr>
                <w:sz w:val="20"/>
              </w:rPr>
              <w:t>Virtual User Sandbox</w:t>
            </w:r>
          </w:p>
        </w:tc>
      </w:tr>
      <w:tr>
        <w:tc>
          <w:tcPr>
            <w:tcW w:type="dxa" w:w="4514"/>
            <w:tcMar>
              <w:top w:w="40" w:type="dxa"/>
              <w:bottom w:w="40" w:type="dxa"/>
              <w:left w:w="60" w:type="dxa"/>
              <w:right w:w="60" w:type="dxa"/>
            </w:tcMar>
          </w:tcPr>
          <w:p>
            <w:pPr>
              <w:spacing w:after="0"/>
            </w:pPr>
            <w:r>
              <w:rPr>
                <w:b/>
                <w:color w:val="1E3A8A"/>
                <w:sz w:val="20"/>
              </w:rPr>
              <w:t>WIL</w:t>
            </w:r>
          </w:p>
        </w:tc>
        <w:tc>
          <w:tcPr>
            <w:tcW w:type="dxa" w:w="4514"/>
            <w:tcMar>
              <w:top w:w="40" w:type="dxa"/>
              <w:bottom w:w="40" w:type="dxa"/>
              <w:left w:w="60" w:type="dxa"/>
              <w:right w:w="60" w:type="dxa"/>
            </w:tcMar>
          </w:tcPr>
          <w:p>
            <w:pPr>
              <w:spacing w:after="0"/>
            </w:pPr>
            <w:r>
              <w:rPr>
                <w:sz w:val="20"/>
              </w:rPr>
              <w:t>Work-Integrated Learning</w:t>
            </w:r>
          </w:p>
        </w:tc>
      </w:tr>
    </w:tbl>
    <w:p>
      <w:r>
        <w:br w:type="page"/>
      </w:r>
    </w:p>
    <w:p>
      <w:pPr>
        <w:keepNext/>
        <w:spacing w:before="320" w:after="280"/>
        <w:jc w:val="center"/>
      </w:pPr>
      <w:r>
        <w:rPr>
          <w:rFonts w:ascii="Times New Roman" w:hAnsi="Times New Roman"/>
          <w:b/>
          <w:color w:val="1E3A8A"/>
          <w:sz w:val="32"/>
        </w:rPr>
        <w:t>CHAPTER 1</w:t>
        <w:br/>
        <w:t>INTRODUCTION</w:t>
      </w:r>
    </w:p>
    <w:p>
      <w:pPr>
        <w:keepNext/>
        <w:spacing w:before="280" w:after="100"/>
      </w:pPr>
      <w:r>
        <w:rPr>
          <w:rFonts w:ascii="Times New Roman" w:hAnsi="Times New Roman"/>
          <w:b/>
          <w:color w:val="1E3A8A"/>
          <w:sz w:val="28"/>
        </w:rPr>
        <w:t>1.1 Background and Motivation</w:t>
      </w:r>
    </w:p>
    <w:p>
      <w:pPr>
        <w:spacing w:line="360" w:lineRule="auto" w:after="120"/>
        <w:jc w:val="both"/>
      </w:pPr>
      <w:r>
        <w:rPr>
          <w:rFonts w:ascii="Times New Roman" w:hAnsi="Times New Roman"/>
          <w:sz w:val="24"/>
        </w:rPr>
        <w:t>In contemporary undergraduate computer science and software engineering education, an increasingly acute pedagogical disparity has emerged: the divergence between theoretical curriculum delivery and the pragmatic operational realities of industrial software engineering. While modern academic institutions successfully impart core foundational competencies — such as asymptotic complexity analysis, abstract data structures, relational database normalization, and formal programming syntax — the instructional paradigm remains predominantly conceptual, lecture-oriented, and centered around small, isolated programming assignments.</w:t>
      </w:r>
    </w:p>
    <w:p>
      <w:pPr>
        <w:spacing w:line="360" w:lineRule="auto" w:after="120"/>
        <w:jc w:val="both"/>
      </w:pPr>
      <w:r>
        <w:rPr>
          <w:rFonts w:ascii="Times New Roman" w:hAnsi="Times New Roman"/>
          <w:sz w:val="24"/>
        </w:rPr>
        <w:t>When undergraduate students complete coursework, their primary exposure to coding typically consists of writing single-file scripts or building Greenfield projects from scratch in an environment unencumbered by real-world enterprise constraints. In marked contrast, practicing corporate software engineers operate within highly structured, collaborative, and socio-technical enterprise ecosystems. An engineer entering the modern technology sector does not write code in a vacuum; they must navigate pre-existing multi-million-line legacy codebases, interpret ambiguous business requirements, adhere to Architecture Decision Records (ADRs), collaborate across cross-functional team topologies, submit pull requests (PRs) subject to rigorous line-by-line review, integrate with automated Continuous Integration/Continuous Deployment (CI/CD) pipelines, and debug live production incidents under operational Service Level Agreements (SLAs).</w:t>
      </w:r>
    </w:p>
    <w:p>
      <w:pPr>
        <w:spacing w:line="360" w:lineRule="auto" w:after="120"/>
        <w:jc w:val="both"/>
      </w:pPr>
      <w:r>
        <w:rPr>
          <w:rFonts w:ascii="Times New Roman" w:hAnsi="Times New Roman"/>
          <w:sz w:val="24"/>
        </w:rPr>
        <w:t>This fundamental gap produces significant friction during the transition from academia to industry. Corporate onboarding periods for entry-level developers frequently extend to six to nine months, during which employers must remediate basic workflow deficiencies. Furthermore, traditional educational assessment methodologies — such as multiple-choice questions, proctored coding exams, and unverified certificates of course completion — fail to demonstrate authentic engineering competence to recruiters. Motivated by these systemic shortcomings, this project undertakes the research, architectural design, and implementation of WORKUP — a Virtual Professional Experience Platform.</w:t>
      </w:r>
    </w:p>
    <w:p>
      <w:pPr>
        <w:keepNext/>
        <w:spacing w:before="280" w:after="100"/>
      </w:pPr>
      <w:r>
        <w:rPr>
          <w:rFonts w:ascii="Times New Roman" w:hAnsi="Times New Roman"/>
          <w:b/>
          <w:color w:val="1E3A8A"/>
          <w:sz w:val="28"/>
        </w:rPr>
        <w:t>1.2 Project Overview</w:t>
      </w:r>
    </w:p>
    <w:p>
      <w:pPr>
        <w:spacing w:line="360" w:lineRule="auto" w:after="120"/>
        <w:jc w:val="both"/>
      </w:pPr>
      <w:r>
        <w:rPr>
          <w:rFonts w:ascii="Times New Roman" w:hAnsi="Times New Roman"/>
          <w:sz w:val="24"/>
        </w:rPr>
        <w:t>WORKUP is a containerized, domain-agnostic web platform designed to simulate authentic corporate software engineering environments. Rather than functioning as a conventional Massive Open Online Course (MOOC) with passive video lectures or as a competitive coding platform testing synthetic algorithmic puzzles, WORKUP immerses learners directly into simulated technology enterprises.</w:t>
      </w:r>
    </w:p>
    <w:p>
      <w:pPr>
        <w:spacing w:line="360" w:lineRule="auto" w:after="120"/>
        <w:jc w:val="both"/>
      </w:pPr>
      <w:r>
        <w:rPr>
          <w:rFonts w:ascii="Times New Roman" w:hAnsi="Times New Roman"/>
          <w:sz w:val="24"/>
        </w:rPr>
        <w:t>Within the platform, a learner does not simply study a subject; they assume an authentic professional identity (e.g., Junior Backend Engineer, Associate MLOps Engineer, Cloud Infrastructure Associate). The learner is assigned to a specific engineering team within a simulated enterprise (such as FinFlow Technologies, a high-volume fintech platform, or OmniRetail Marketplace, a distributed e-commerce system). They receive structured business problem tickets that mirror industrial issue trackers (e.g., Jira or Linear), complete with business impact statements, historical context, technical specifications, and architectural constraints.</w:t>
      </w:r>
    </w:p>
    <w:p>
      <w:pPr>
        <w:spacing w:line="360" w:lineRule="auto" w:after="120"/>
        <w:jc w:val="both"/>
      </w:pPr>
      <w:r>
        <w:rPr>
          <w:rFonts w:ascii="Times New Roman" w:hAnsi="Times New Roman"/>
          <w:sz w:val="24"/>
        </w:rPr>
        <w:t>To execute their work, learners launch an isolated, cloud-orchestrated development workspace pre-configured with the enterprise's legacy repository, seed datasets, and testing harnesses. Learners implement code modifications, run multi-tier automated test suites inside the sandboxed runtime, and submit their work through a simulated Git pull request mechanism. An automated AI Tech Lead review engine inspects the code diff, assesses compliance against architectural standards, and provides line-anchored formative feedback. Upon successful completion of multi-phase simulation tracks, the platform generates a cryptographically verifiable Evidence-of-Skill Dossier backed by Git commit hashes and execution logs, providing verifiable proof of professional capability.</w:t>
      </w:r>
    </w:p>
    <w:tbl>
      <w:tblPr>
        <w:tblW w:type="auto" w:w="0"/>
        <w:jc w:val="center"/>
        <w:tblLayout w:type="fixed"/>
        <w:tblLook w:firstColumn="1" w:firstRow="1" w:lastColumn="0" w:lastRow="0" w:noHBand="0" w:noVBand="1" w:val="04A0"/>
      </w:tblPr>
      <w:tblGrid>
        <w:gridCol w:w="9029"/>
      </w:tblGrid>
      <w:tr>
        <w:tc>
          <w:tcPr>
            <w:tcW w:type="dxa" w:w="9029"/>
            <w:shd w:fill="f8fafc"/>
            <w:tcMar>
              <w:top w:w="140" w:type="dxa"/>
              <w:bottom w:w="140" w:type="dxa"/>
              <w:left w:w="180" w:type="dxa"/>
              <w:right w:w="180" w:type="dxa"/>
            </w:tcMar>
            <w:tcBorders>
              <w:left w:val="single" w:sz="24" w:space="0" w:color="0284c7"/>
              <w:top w:val="none"/>
              <w:right w:val="none"/>
              <w:bottom w:val="none"/>
            </w:tcBorders>
          </w:tcPr>
          <w:p>
            <w:pPr>
              <w:spacing w:line="312" w:lineRule="auto" w:after="0"/>
              <w:jc w:val="both"/>
            </w:pPr>
            <w:r>
              <w:rPr>
                <w:rFonts w:ascii="Times New Roman" w:hAnsi="Times New Roman"/>
                <w:b/>
                <w:color w:val="0284C7"/>
                <w:sz w:val="21"/>
              </w:rPr>
              <w:t xml:space="preserve">CORE ARCHITECTURAL IDENTITY: </w:t>
            </w:r>
            <w:r>
              <w:rPr>
                <w:rFonts w:ascii="Times New Roman" w:hAnsi="Times New Roman"/>
                <w:color w:val="0F172A"/>
                <w:sz w:val="21"/>
              </w:rPr>
              <w:t>WORKUP is strictly defined by the Universal Professional Lifecycle: Career → Role → Company → Business Problem → Professional Task → Real Tools → Cloud Workspace → Implementation → Testing → Review → Deployment → Monitoring → Debugging → Evidence of Skill.</w:t>
            </w:r>
          </w:p>
        </w:tc>
      </w:tr>
    </w:tbl>
    <w:p>
      <w:pPr>
        <w:spacing w:after="80"/>
      </w:pPr>
    </w:p>
    <w:p>
      <w:pPr>
        <w:keepNext/>
        <w:spacing w:before="280" w:after="100"/>
      </w:pPr>
      <w:r>
        <w:rPr>
          <w:rFonts w:ascii="Times New Roman" w:hAnsi="Times New Roman"/>
          <w:b/>
          <w:color w:val="1E3A8A"/>
          <w:sz w:val="28"/>
        </w:rPr>
        <w:t>1.3 Problem Formulation and Problem Statement</w:t>
      </w:r>
    </w:p>
    <w:p>
      <w:pPr>
        <w:spacing w:line="360" w:lineRule="auto" w:after="120"/>
        <w:jc w:val="both"/>
      </w:pPr>
      <w:r>
        <w:rPr>
          <w:rFonts w:ascii="Times New Roman" w:hAnsi="Times New Roman"/>
          <w:sz w:val="24"/>
        </w:rPr>
        <w:t>The central problem addressed by this project can be formulated as follows:</w:t>
      </w:r>
    </w:p>
    <w:p>
      <w:pPr>
        <w:spacing w:line="360" w:lineRule="auto" w:after="120"/>
        <w:jc w:val="both"/>
      </w:pPr>
      <w:r>
        <w:rPr>
          <w:rFonts w:ascii="Times New Roman" w:hAnsi="Times New Roman"/>
          <w:sz w:val="24"/>
        </w:rPr>
        <w:t>Traditional computing education platforms isolate technical learning into fragmented, decontextualized tasks. Course-based learning delivers abstract theory without authentic execution; algorithmic coding platforms isolate syntax from software architecture; and existing virtual internships rely on static, non-interactive document submissions without live toolchains. Consequently, there is an absence of an integrated, scalable software platform that unifies simulated corporate context, containerized cloud development, automated testing, line-level code review, and verifiable portfolio generation.</w:t>
      </w:r>
    </w:p>
    <w:p>
      <w:pPr>
        <w:spacing w:line="360" w:lineRule="auto" w:after="120"/>
        <w:jc w:val="both"/>
      </w:pPr>
      <w:r>
        <w:rPr>
          <w:rFonts w:ascii="Times New Roman" w:hAnsi="Times New Roman"/>
          <w:sz w:val="24"/>
        </w:rPr>
        <w:t>Formally, the project seeks to resolve the following core technical and pedagogical questions:</w:t>
      </w:r>
    </w:p>
    <w:p>
      <w:pPr>
        <w:pStyle w:val="ListBullet"/>
        <w:spacing w:line="312" w:lineRule="auto" w:after="80"/>
        <w:jc w:val="both"/>
      </w:pPr>
      <w:r>
        <w:rPr>
          <w:rFonts w:ascii="Times New Roman" w:hAnsi="Times New Roman"/>
          <w:b/>
          <w:sz w:val="24"/>
        </w:rPr>
        <w:t xml:space="preserve">Contextual Realism Deficit: </w:t>
      </w:r>
      <w:r>
        <w:rPr>
          <w:rFonts w:ascii="Times New Roman" w:hAnsi="Times New Roman"/>
          <w:sz w:val="24"/>
        </w:rPr>
        <w:t>How can simulated corporate environments, team charters, and Architectural Decision Records (ADRs) be dynamically modeled in software to provide realistic context for engineering tasks?</w:t>
      </w:r>
    </w:p>
    <w:p>
      <w:pPr>
        <w:pStyle w:val="ListBullet"/>
        <w:spacing w:line="312" w:lineRule="auto" w:after="80"/>
        <w:jc w:val="both"/>
      </w:pPr>
      <w:r>
        <w:rPr>
          <w:rFonts w:ascii="Times New Roman" w:hAnsi="Times New Roman"/>
          <w:b/>
          <w:sz w:val="24"/>
        </w:rPr>
        <w:t xml:space="preserve">Execution Environment Heterogeneity: </w:t>
      </w:r>
      <w:r>
        <w:rPr>
          <w:rFonts w:ascii="Times New Roman" w:hAnsi="Times New Roman"/>
          <w:sz w:val="24"/>
        </w:rPr>
        <w:t>How can an educational platform eliminate local environment configuration overhead while ensuring multi-tenant process isolation, resource throttling, and reproducible test execution?</w:t>
      </w:r>
    </w:p>
    <w:p>
      <w:pPr>
        <w:pStyle w:val="ListBullet"/>
        <w:spacing w:line="312" w:lineRule="auto" w:after="80"/>
        <w:jc w:val="both"/>
      </w:pPr>
      <w:r>
        <w:rPr>
          <w:rFonts w:ascii="Times New Roman" w:hAnsi="Times New Roman"/>
          <w:b/>
          <w:sz w:val="24"/>
        </w:rPr>
        <w:t xml:space="preserve">Authentic Formative Evaluation: </w:t>
      </w:r>
      <w:r>
        <w:rPr>
          <w:rFonts w:ascii="Times New Roman" w:hAnsi="Times New Roman"/>
          <w:sz w:val="24"/>
        </w:rPr>
        <w:t>How can automated evaluation move beyond binary pass/fail test assertions to provide qualitative, line-by-line feedback on code maintainability, security, and architectural compliance?</w:t>
      </w:r>
    </w:p>
    <w:p>
      <w:pPr>
        <w:pStyle w:val="ListBullet"/>
        <w:spacing w:line="312" w:lineRule="auto" w:after="80"/>
        <w:jc w:val="both"/>
      </w:pPr>
      <w:r>
        <w:rPr>
          <w:rFonts w:ascii="Times New Roman" w:hAnsi="Times New Roman"/>
          <w:b/>
          <w:sz w:val="24"/>
        </w:rPr>
        <w:t xml:space="preserve">Verifiable Competence Demonstration: </w:t>
      </w:r>
      <w:r>
        <w:rPr>
          <w:rFonts w:ascii="Times New Roman" w:hAnsi="Times New Roman"/>
          <w:sz w:val="24"/>
        </w:rPr>
        <w:t>How can student engineering output be transformed into tamper-evident, commit-backed dossiers that credibly prove practical skills to employers?</w:t>
      </w:r>
    </w:p>
    <w:p>
      <w:pPr>
        <w:keepNext/>
        <w:spacing w:before="280" w:after="100"/>
      </w:pPr>
      <w:r>
        <w:rPr>
          <w:rFonts w:ascii="Times New Roman" w:hAnsi="Times New Roman"/>
          <w:b/>
          <w:color w:val="1E3A8A"/>
          <w:sz w:val="28"/>
        </w:rPr>
        <w:t>1.4 Objectives of the Project</w:t>
      </w:r>
    </w:p>
    <w:p>
      <w:pPr>
        <w:spacing w:line="360" w:lineRule="auto" w:after="120"/>
        <w:jc w:val="both"/>
      </w:pPr>
      <w:r>
        <w:rPr>
          <w:rFonts w:ascii="Times New Roman" w:hAnsi="Times New Roman"/>
          <w:sz w:val="24"/>
        </w:rPr>
        <w:t>To address the formulated problem statement, the project establishes the following specific, measurable engineering objectives for Major Project Stage-I and Stage-II:</w:t>
      </w:r>
    </w:p>
    <w:p>
      <w:pPr>
        <w:pStyle w:val="ListBullet"/>
        <w:spacing w:line="312" w:lineRule="auto" w:after="80"/>
        <w:jc w:val="both"/>
      </w:pPr>
      <w:r>
        <w:rPr>
          <w:rFonts w:ascii="Times New Roman" w:hAnsi="Times New Roman"/>
          <w:b/>
          <w:sz w:val="24"/>
        </w:rPr>
        <w:t xml:space="preserve">Objective 1 (Domain Schema &amp; Content Engine): </w:t>
      </w:r>
      <w:r>
        <w:rPr>
          <w:rFonts w:ascii="Times New Roman" w:hAnsi="Times New Roman"/>
          <w:sz w:val="24"/>
        </w:rPr>
        <w:t>Design and implement a relational domain model comprising at least 20 interconnected entities capable of modeling careers, roles, skills, simulated companies, teams, simulations, projects, task backlogs, Directed Acyclic Graph (DAG) dependencies, and audit trails.</w:t>
      </w:r>
    </w:p>
    <w:p>
      <w:pPr>
        <w:pStyle w:val="ListBullet"/>
        <w:spacing w:line="312" w:lineRule="auto" w:after="80"/>
        <w:jc w:val="both"/>
      </w:pPr>
      <w:r>
        <w:rPr>
          <w:rFonts w:ascii="Times New Roman" w:hAnsi="Times New Roman"/>
          <w:b/>
          <w:sz w:val="24"/>
        </w:rPr>
        <w:t xml:space="preserve">Objective 2 (Role-Based Access Control &amp; Security): </w:t>
      </w:r>
      <w:r>
        <w:rPr>
          <w:rFonts w:ascii="Times New Roman" w:hAnsi="Times New Roman"/>
          <w:sz w:val="24"/>
        </w:rPr>
        <w:t>Implement an enterprise-grade authentication and authorization infrastructure supporting four distinct platform roles (Student, Content Author, Reviewer, Administrator) using bcryptjs password hashing and signed JSON Web Tokens (JWT).</w:t>
      </w:r>
    </w:p>
    <w:p>
      <w:pPr>
        <w:pStyle w:val="ListBullet"/>
        <w:spacing w:line="312" w:lineRule="auto" w:after="80"/>
        <w:jc w:val="both"/>
      </w:pPr>
      <w:r>
        <w:rPr>
          <w:rFonts w:ascii="Times New Roman" w:hAnsi="Times New Roman"/>
          <w:b/>
          <w:sz w:val="24"/>
        </w:rPr>
        <w:t xml:space="preserve">Objective 3 (Cloud Workspace Orchestration): </w:t>
      </w:r>
      <w:r>
        <w:rPr>
          <w:rFonts w:ascii="Times New Roman" w:hAnsi="Times New Roman"/>
          <w:sz w:val="24"/>
        </w:rPr>
        <w:t>Architect and implement an automated workspace orchestration service that provisions isolated execution sandboxes, enforces per-student concurrency limits, monitors resource consumption, and handles automated process timeouts.</w:t>
      </w:r>
    </w:p>
    <w:p>
      <w:pPr>
        <w:pStyle w:val="ListBullet"/>
        <w:spacing w:line="312" w:lineRule="auto" w:after="80"/>
        <w:jc w:val="both"/>
      </w:pPr>
      <w:r>
        <w:rPr>
          <w:rFonts w:ascii="Times New Roman" w:hAnsi="Times New Roman"/>
          <w:b/>
          <w:sz w:val="24"/>
        </w:rPr>
        <w:t xml:space="preserve">Objective 4 (Multi-Tier Evaluation &amp; Review System): </w:t>
      </w:r>
      <w:r>
        <w:rPr>
          <w:rFonts w:ascii="Times New Roman" w:hAnsi="Times New Roman"/>
          <w:sz w:val="24"/>
        </w:rPr>
        <w:t>Develop an evaluation pipeline combining deterministic automated test execution (unit and integration suites) with rubric-driven code review capabilities.</w:t>
      </w:r>
    </w:p>
    <w:p>
      <w:pPr>
        <w:pStyle w:val="ListBullet"/>
        <w:spacing w:line="312" w:lineRule="auto" w:after="80"/>
        <w:jc w:val="both"/>
      </w:pPr>
      <w:r>
        <w:rPr>
          <w:rFonts w:ascii="Times New Roman" w:hAnsi="Times New Roman"/>
          <w:b/>
          <w:sz w:val="24"/>
        </w:rPr>
        <w:t xml:space="preserve">Objective 5 (Empirical Codebase Validation): </w:t>
      </w:r>
      <w:r>
        <w:rPr>
          <w:rFonts w:ascii="Times New Roman" w:hAnsi="Times New Roman"/>
          <w:sz w:val="24"/>
        </w:rPr>
        <w:t>Construct a comprehensive automated test harness using Vitest to validate domain integrity, RBAC permissions, process jailing, and timeout enforcement with 100% test pass rate.</w:t>
      </w:r>
    </w:p>
    <w:p>
      <w:pPr>
        <w:pStyle w:val="ListBullet"/>
        <w:spacing w:line="312" w:lineRule="auto" w:after="80"/>
        <w:jc w:val="both"/>
      </w:pPr>
      <w:r>
        <w:rPr>
          <w:rFonts w:ascii="Times New Roman" w:hAnsi="Times New Roman"/>
          <w:b/>
          <w:sz w:val="24"/>
        </w:rPr>
        <w:t xml:space="preserve">Objective 6 (Verifiable Evidence Dossier Generation): </w:t>
      </w:r>
      <w:r>
        <w:rPr>
          <w:rFonts w:ascii="Times New Roman" w:hAnsi="Times New Roman"/>
          <w:sz w:val="24"/>
        </w:rPr>
        <w:t>Design a portfolio generation mechanism that records verified Git commit SHAs, test outputs, and evaluation rubrics into an immutable Evidence-of-Skill record.</w:t>
      </w:r>
    </w:p>
    <w:p>
      <w:pPr>
        <w:keepNext/>
        <w:spacing w:before="280" w:after="100"/>
      </w:pPr>
      <w:r>
        <w:rPr>
          <w:rFonts w:ascii="Times New Roman" w:hAnsi="Times New Roman"/>
          <w:b/>
          <w:color w:val="1E3A8A"/>
          <w:sz w:val="28"/>
        </w:rPr>
        <w:t>1.5 Scope of the Project</w:t>
      </w:r>
    </w:p>
    <w:p>
      <w:pPr>
        <w:spacing w:line="360" w:lineRule="auto" w:after="120"/>
        <w:jc w:val="both"/>
      </w:pPr>
      <w:r>
        <w:rPr>
          <w:rFonts w:ascii="Times New Roman" w:hAnsi="Times New Roman"/>
          <w:sz w:val="24"/>
        </w:rPr>
        <w:t>Defining a clear system boundary is essential for academic evaluation. The scope of WORKUP is structured across implemented Stage-I deliverables and planned Stage-II enhancements:</w:t>
      </w:r>
    </w:p>
    <w:p>
      <w:pPr>
        <w:keepNext/>
        <w:spacing w:before="200" w:after="60"/>
      </w:pPr>
      <w:r>
        <w:rPr>
          <w:rFonts w:ascii="Times New Roman" w:hAnsi="Times New Roman"/>
          <w:b/>
          <w:color w:val="0F172A"/>
          <w:sz w:val="25"/>
        </w:rPr>
        <w:t>Current Stage-I Implementation Scope</w:t>
      </w:r>
    </w:p>
    <w:p>
      <w:pPr>
        <w:pStyle w:val="ListBullet"/>
        <w:spacing w:line="312" w:lineRule="auto" w:after="80"/>
        <w:jc w:val="both"/>
      </w:pPr>
      <w:r>
        <w:rPr>
          <w:rFonts w:ascii="Times New Roman" w:hAnsi="Times New Roman"/>
          <w:b/>
          <w:sz w:val="24"/>
        </w:rPr>
        <w:t xml:space="preserve">Full-Stack Web Foundation: </w:t>
      </w:r>
      <w:r>
        <w:rPr>
          <w:rFonts w:ascii="Times New Roman" w:hAnsi="Times New Roman"/>
          <w:sz w:val="24"/>
        </w:rPr>
        <w:t>Complete Next.js 14 App Router platform with React 18, TypeScript, and responsive Tailwind CSS user interfaces.</w:t>
      </w:r>
    </w:p>
    <w:p>
      <w:pPr>
        <w:pStyle w:val="ListBullet"/>
        <w:spacing w:line="312" w:lineRule="auto" w:after="80"/>
        <w:jc w:val="both"/>
      </w:pPr>
      <w:r>
        <w:rPr>
          <w:rFonts w:ascii="Times New Roman" w:hAnsi="Times New Roman"/>
          <w:b/>
          <w:sz w:val="24"/>
        </w:rPr>
        <w:t xml:space="preserve">Database Architecture: </w:t>
      </w:r>
      <w:r>
        <w:rPr>
          <w:rFonts w:ascii="Times New Roman" w:hAnsi="Times New Roman"/>
          <w:sz w:val="24"/>
        </w:rPr>
        <w:t>Prisma ORM 5.x configured with a 21-entity relational schema operating on SQLite (dev.db) with seamless migration path to PostgreSQL.</w:t>
      </w:r>
    </w:p>
    <w:p>
      <w:pPr>
        <w:pStyle w:val="ListBullet"/>
        <w:spacing w:line="312" w:lineRule="auto" w:after="80"/>
        <w:jc w:val="both"/>
      </w:pPr>
      <w:r>
        <w:rPr>
          <w:rFonts w:ascii="Times New Roman" w:hAnsi="Times New Roman"/>
          <w:b/>
          <w:sz w:val="24"/>
        </w:rPr>
        <w:t xml:space="preserve">RBAC Security: </w:t>
      </w:r>
      <w:r>
        <w:rPr>
          <w:rFonts w:ascii="Times New Roman" w:hAnsi="Times New Roman"/>
          <w:sz w:val="24"/>
        </w:rPr>
        <w:t>Complete session management, HTTP-only secure cookie transport, and route-level authorization guards for all four user roles.</w:t>
      </w:r>
    </w:p>
    <w:p>
      <w:pPr>
        <w:pStyle w:val="ListBullet"/>
        <w:spacing w:line="312" w:lineRule="auto" w:after="80"/>
        <w:jc w:val="both"/>
      </w:pPr>
      <w:r>
        <w:rPr>
          <w:rFonts w:ascii="Times New Roman" w:hAnsi="Times New Roman"/>
          <w:b/>
          <w:sz w:val="24"/>
        </w:rPr>
        <w:t xml:space="preserve">Simulation &amp; DAG Engine: </w:t>
      </w:r>
      <w:r>
        <w:rPr>
          <w:rFonts w:ascii="Times New Roman" w:hAnsi="Times New Roman"/>
          <w:sz w:val="24"/>
        </w:rPr>
        <w:t>Catalog explorer for career families, professions, roles, and company simulations with prerequisite dependency enforcement.</w:t>
      </w:r>
    </w:p>
    <w:p>
      <w:pPr>
        <w:pStyle w:val="ListBullet"/>
        <w:spacing w:line="312" w:lineRule="auto" w:after="80"/>
        <w:jc w:val="both"/>
      </w:pPr>
      <w:r>
        <w:rPr>
          <w:rFonts w:ascii="Times New Roman" w:hAnsi="Times New Roman"/>
          <w:b/>
          <w:sz w:val="24"/>
        </w:rPr>
        <w:t xml:space="preserve">Workspace Orchestration Engine: </w:t>
      </w:r>
      <w:r>
        <w:rPr>
          <w:rFonts w:ascii="Times New Roman" w:hAnsi="Times New Roman"/>
          <w:sz w:val="24"/>
        </w:rPr>
        <w:t>Process-isolated execution provider (IsolatedSandboxProvider) with directory jailing, concurrency limits, and 4000ms execution timeout enforcement.</w:t>
      </w:r>
    </w:p>
    <w:p>
      <w:pPr>
        <w:pStyle w:val="ListBullet"/>
        <w:spacing w:line="312" w:lineRule="auto" w:after="80"/>
        <w:jc w:val="both"/>
      </w:pPr>
      <w:r>
        <w:rPr>
          <w:rFonts w:ascii="Times New Roman" w:hAnsi="Times New Roman"/>
          <w:b/>
          <w:sz w:val="24"/>
        </w:rPr>
        <w:t xml:space="preserve">Flagship Track Prototype: </w:t>
      </w:r>
      <w:r>
        <w:rPr>
          <w:rFonts w:ascii="Times New Roman" w:hAnsi="Times New Roman"/>
          <w:sz w:val="24"/>
        </w:rPr>
        <w:t>Seed data provisioning the FinFlow Technologies Payment Webhook Idempotency track (FF-104) complete with simulated ADRs and test harnesses.</w:t>
      </w:r>
    </w:p>
    <w:p>
      <w:pPr>
        <w:pStyle w:val="ListBullet"/>
        <w:spacing w:line="312" w:lineRule="auto" w:after="80"/>
        <w:jc w:val="both"/>
      </w:pPr>
      <w:r>
        <w:rPr>
          <w:rFonts w:ascii="Times New Roman" w:hAnsi="Times New Roman"/>
          <w:b/>
          <w:sz w:val="24"/>
        </w:rPr>
        <w:t xml:space="preserve">Automated Verification: </w:t>
      </w:r>
      <w:r>
        <w:rPr>
          <w:rFonts w:ascii="Times New Roman" w:hAnsi="Times New Roman"/>
          <w:sz w:val="24"/>
        </w:rPr>
        <w:t>34 passing automated tests across 8 test suites validating authentication, domain constraints, input sanitization, and workspace lifecycle.</w:t>
      </w:r>
    </w:p>
    <w:p>
      <w:pPr>
        <w:keepNext/>
        <w:spacing w:before="200" w:after="60"/>
      </w:pPr>
      <w:r>
        <w:rPr>
          <w:rFonts w:ascii="Times New Roman" w:hAnsi="Times New Roman"/>
          <w:b/>
          <w:color w:val="0F172A"/>
          <w:sz w:val="25"/>
        </w:rPr>
        <w:t>Planned Stage-II Scope (Future Expansion)</w:t>
      </w:r>
    </w:p>
    <w:p>
      <w:pPr>
        <w:pStyle w:val="ListBullet"/>
        <w:spacing w:line="312" w:lineRule="auto" w:after="80"/>
        <w:jc w:val="both"/>
      </w:pPr>
      <w:r>
        <w:rPr>
          <w:rFonts w:ascii="Times New Roman" w:hAnsi="Times New Roman"/>
          <w:b/>
          <w:sz w:val="24"/>
        </w:rPr>
        <w:t xml:space="preserve">Remote Container Fleets: </w:t>
      </w:r>
      <w:r>
        <w:rPr>
          <w:rFonts w:ascii="Times New Roman" w:hAnsi="Times New Roman"/>
          <w:sz w:val="24"/>
        </w:rPr>
        <w:t>Transition from local process jailing to remote Kubernetes / Docker container fleets utilizing DevContainer specifications.</w:t>
      </w:r>
    </w:p>
    <w:p>
      <w:pPr>
        <w:pStyle w:val="ListBullet"/>
        <w:spacing w:line="312" w:lineRule="auto" w:after="80"/>
        <w:jc w:val="both"/>
      </w:pPr>
      <w:r>
        <w:rPr>
          <w:rFonts w:ascii="Times New Roman" w:hAnsi="Times New Roman"/>
          <w:b/>
          <w:sz w:val="24"/>
        </w:rPr>
        <w:t xml:space="preserve">Multi-Turn AI Tech Lead: </w:t>
      </w:r>
      <w:r>
        <w:rPr>
          <w:rFonts w:ascii="Times New Roman" w:hAnsi="Times New Roman"/>
          <w:sz w:val="24"/>
        </w:rPr>
        <w:t>Integration of Large Language Model (LLM) agents operating on Git unified diffs for automated line-by-line pull request code reviews.</w:t>
      </w:r>
    </w:p>
    <w:p>
      <w:pPr>
        <w:pStyle w:val="ListBullet"/>
        <w:spacing w:line="312" w:lineRule="auto" w:after="80"/>
        <w:jc w:val="both"/>
      </w:pPr>
      <w:r>
        <w:rPr>
          <w:rFonts w:ascii="Times New Roman" w:hAnsi="Times New Roman"/>
          <w:b/>
          <w:sz w:val="24"/>
        </w:rPr>
        <w:t xml:space="preserve">Synthetic Telemetry &amp; Incident Injection: </w:t>
      </w:r>
      <w:r>
        <w:rPr>
          <w:rFonts w:ascii="Times New Roman" w:hAnsi="Times New Roman"/>
          <w:sz w:val="24"/>
        </w:rPr>
        <w:t>Simulated Grafana metrics and synthetic alert firing for real-time production incident response simulations.</w:t>
      </w:r>
    </w:p>
    <w:p>
      <w:pPr>
        <w:pStyle w:val="ListBullet"/>
        <w:spacing w:line="312" w:lineRule="auto" w:after="80"/>
        <w:jc w:val="both"/>
      </w:pPr>
      <w:r>
        <w:rPr>
          <w:rFonts w:ascii="Times New Roman" w:hAnsi="Times New Roman"/>
          <w:b/>
          <w:sz w:val="24"/>
        </w:rPr>
        <w:t xml:space="preserve">Public Cryptographic Verification: </w:t>
      </w:r>
      <w:r>
        <w:rPr>
          <w:rFonts w:ascii="Times New Roman" w:hAnsi="Times New Roman"/>
          <w:sz w:val="24"/>
        </w:rPr>
        <w:t>Public web verification endpoint serving signed SHA-256 evidence dossiers for external recruiter verification.</w:t>
      </w:r>
    </w:p>
    <w:p>
      <w:pPr>
        <w:keepNext/>
        <w:spacing w:before="280" w:after="100"/>
      </w:pPr>
      <w:r>
        <w:rPr>
          <w:rFonts w:ascii="Times New Roman" w:hAnsi="Times New Roman"/>
          <w:b/>
          <w:color w:val="1E3A8A"/>
          <w:sz w:val="28"/>
        </w:rPr>
        <w:t>1.6 Existing Systems and Approaches</w:t>
      </w:r>
    </w:p>
    <w:p>
      <w:pPr>
        <w:spacing w:line="360" w:lineRule="auto" w:after="120"/>
        <w:jc w:val="both"/>
      </w:pPr>
      <w:r>
        <w:rPr>
          <w:rFonts w:ascii="Times New Roman" w:hAnsi="Times New Roman"/>
          <w:sz w:val="24"/>
        </w:rPr>
        <w:t>Current approaches to technical education and workforce skill development fall into four predominant categories:</w:t>
      </w:r>
    </w:p>
    <w:p>
      <w:pPr>
        <w:pStyle w:val="ListBullet"/>
        <w:spacing w:line="312" w:lineRule="auto" w:after="80"/>
        <w:jc w:val="both"/>
      </w:pPr>
      <w:r>
        <w:rPr>
          <w:rFonts w:ascii="Times New Roman" w:hAnsi="Times New Roman"/>
          <w:b/>
          <w:sz w:val="24"/>
        </w:rPr>
        <w:t xml:space="preserve">Massive Open Online Courses (MOOCs): </w:t>
      </w:r>
      <w:r>
        <w:rPr>
          <w:rFonts w:ascii="Times New Roman" w:hAnsi="Times New Roman"/>
          <w:sz w:val="24"/>
        </w:rPr>
        <w:t>Platforms such as Coursera, edX, and Udemy deliver asynchronous video lectures accompanied by automated multiple-choice quizzes and occasional unproctored coding assignments.</w:t>
      </w:r>
    </w:p>
    <w:p>
      <w:pPr>
        <w:pStyle w:val="ListBullet"/>
        <w:spacing w:line="312" w:lineRule="auto" w:after="80"/>
        <w:jc w:val="both"/>
      </w:pPr>
      <w:r>
        <w:rPr>
          <w:rFonts w:ascii="Times New Roman" w:hAnsi="Times New Roman"/>
          <w:b/>
          <w:sz w:val="24"/>
        </w:rPr>
        <w:t xml:space="preserve">Competitive Programming Platforms: </w:t>
      </w:r>
      <w:r>
        <w:rPr>
          <w:rFonts w:ascii="Times New Roman" w:hAnsi="Times New Roman"/>
          <w:sz w:val="24"/>
        </w:rPr>
        <w:t>Platforms such as LeetCode, HackerRank, and Codeforces provide browser-based code editors evaluating short algorithmic solutions against hidden input-output test cases.</w:t>
      </w:r>
    </w:p>
    <w:p>
      <w:pPr>
        <w:pStyle w:val="ListBullet"/>
        <w:spacing w:line="312" w:lineRule="auto" w:after="80"/>
        <w:jc w:val="both"/>
      </w:pPr>
      <w:r>
        <w:rPr>
          <w:rFonts w:ascii="Times New Roman" w:hAnsi="Times New Roman"/>
          <w:b/>
          <w:sz w:val="24"/>
        </w:rPr>
        <w:t xml:space="preserve">Project-Based Developer Courses: </w:t>
      </w:r>
      <w:r>
        <w:rPr>
          <w:rFonts w:ascii="Times New Roman" w:hAnsi="Times New Roman"/>
          <w:sz w:val="24"/>
        </w:rPr>
        <w:t>Platforms such as Crio.Do offer structured, milestone-driven developer workbooks where learners build multi-file applications following sequential instructions.</w:t>
      </w:r>
    </w:p>
    <w:p>
      <w:pPr>
        <w:pStyle w:val="ListBullet"/>
        <w:spacing w:line="312" w:lineRule="auto" w:after="80"/>
        <w:jc w:val="both"/>
      </w:pPr>
      <w:r>
        <w:rPr>
          <w:rFonts w:ascii="Times New Roman" w:hAnsi="Times New Roman"/>
          <w:b/>
          <w:sz w:val="24"/>
        </w:rPr>
        <w:t xml:space="preserve">Corporate Virtual Internships: </w:t>
      </w:r>
      <w:r>
        <w:rPr>
          <w:rFonts w:ascii="Times New Roman" w:hAnsi="Times New Roman"/>
          <w:sz w:val="24"/>
        </w:rPr>
        <w:t>Platforms such as Forage (formerly InsideSherpa) offer company-branded virtual work experience programs consisting of video prompts and static assignment submissions.</w:t>
      </w:r>
    </w:p>
    <w:p>
      <w:pPr>
        <w:keepNext/>
        <w:spacing w:before="280" w:after="100"/>
      </w:pPr>
      <w:r>
        <w:rPr>
          <w:rFonts w:ascii="Times New Roman" w:hAnsi="Times New Roman"/>
          <w:b/>
          <w:color w:val="1E3A8A"/>
          <w:sz w:val="28"/>
        </w:rPr>
        <w:t>1.7 Limitations of Existing Approaches</w:t>
      </w:r>
    </w:p>
    <w:p>
      <w:pPr>
        <w:spacing w:line="360" w:lineRule="auto" w:after="120"/>
        <w:jc w:val="both"/>
      </w:pPr>
      <w:r>
        <w:rPr>
          <w:rFonts w:ascii="Times New Roman" w:hAnsi="Times New Roman"/>
          <w:sz w:val="24"/>
        </w:rPr>
        <w:t>While each existing approach offers specific merits, all suffer from critical limitations when evaluated against the requirements of corporate software engineering:</w:t>
      </w:r>
    </w:p>
    <w:p>
      <w:pPr>
        <w:pStyle w:val="ListBullet"/>
        <w:spacing w:line="312" w:lineRule="auto" w:after="80"/>
        <w:jc w:val="both"/>
      </w:pPr>
      <w:r>
        <w:rPr>
          <w:rFonts w:ascii="Times New Roman" w:hAnsi="Times New Roman"/>
          <w:b/>
          <w:sz w:val="24"/>
        </w:rPr>
        <w:t xml:space="preserve">Passive Pedagogical Mode: </w:t>
      </w:r>
      <w:r>
        <w:rPr>
          <w:rFonts w:ascii="Times New Roman" w:hAnsi="Times New Roman"/>
          <w:sz w:val="24"/>
        </w:rPr>
        <w:t>MOOCs foster passive content consumption; learners watch instructors code rather than engaging in hands-on problem solving, resulting in extremely high course attrition rates (typically exceeding 85%).</w:t>
      </w:r>
    </w:p>
    <w:p>
      <w:pPr>
        <w:pStyle w:val="ListBullet"/>
        <w:spacing w:line="312" w:lineRule="auto" w:after="80"/>
        <w:jc w:val="both"/>
      </w:pPr>
      <w:r>
        <w:rPr>
          <w:rFonts w:ascii="Times New Roman" w:hAnsi="Times New Roman"/>
          <w:b/>
          <w:sz w:val="24"/>
        </w:rPr>
        <w:t xml:space="preserve">Decontextualized Toy Problems: </w:t>
      </w:r>
      <w:r>
        <w:rPr>
          <w:rFonts w:ascii="Times New Roman" w:hAnsi="Times New Roman"/>
          <w:sz w:val="24"/>
        </w:rPr>
        <w:t>Competitive programming platforms test synthetic puzzles in single-file environments. They provide zero exposure to software architecture, legacy codebases, design patterns, dependency management, or software testing frameworks.</w:t>
      </w:r>
    </w:p>
    <w:p>
      <w:pPr>
        <w:pStyle w:val="ListBullet"/>
        <w:spacing w:line="312" w:lineRule="auto" w:after="80"/>
        <w:jc w:val="both"/>
      </w:pPr>
      <w:r>
        <w:rPr>
          <w:rFonts w:ascii="Times New Roman" w:hAnsi="Times New Roman"/>
          <w:b/>
          <w:sz w:val="24"/>
        </w:rPr>
        <w:t xml:space="preserve">Absence of Authentic Team Workflows: </w:t>
      </w:r>
      <w:r>
        <w:rPr>
          <w:rFonts w:ascii="Times New Roman" w:hAnsi="Times New Roman"/>
          <w:sz w:val="24"/>
        </w:rPr>
        <w:t>Existing platforms omit corporate collaborative mechanisms. Students do not read Architecture Decision Records, navigate team hierarchies, manage Git branches, submit pull requests, or receive constructive line-level peer reviews.</w:t>
      </w:r>
    </w:p>
    <w:p>
      <w:pPr>
        <w:pStyle w:val="ListBullet"/>
        <w:spacing w:line="312" w:lineRule="auto" w:after="80"/>
        <w:jc w:val="both"/>
      </w:pPr>
      <w:r>
        <w:rPr>
          <w:rFonts w:ascii="Times New Roman" w:hAnsi="Times New Roman"/>
          <w:b/>
          <w:sz w:val="24"/>
        </w:rPr>
        <w:t xml:space="preserve">Static, Non-Interactive Submissions: </w:t>
      </w:r>
      <w:r>
        <w:rPr>
          <w:rFonts w:ascii="Times New Roman" w:hAnsi="Times New Roman"/>
          <w:sz w:val="24"/>
        </w:rPr>
        <w:t>Virtual internship platforms rely on static document uploads (e.g., submitting Word documents or slide decks). They provide zero interactive cloud development environments, no automated code execution, and no live test validation.</w:t>
      </w:r>
    </w:p>
    <w:p>
      <w:pPr>
        <w:pStyle w:val="ListBullet"/>
        <w:spacing w:line="312" w:lineRule="auto" w:after="80"/>
        <w:jc w:val="both"/>
      </w:pPr>
      <w:r>
        <w:rPr>
          <w:rFonts w:ascii="Times New Roman" w:hAnsi="Times New Roman"/>
          <w:b/>
          <w:sz w:val="24"/>
        </w:rPr>
        <w:t xml:space="preserve">Unverifiable Credentials: </w:t>
      </w:r>
      <w:r>
        <w:rPr>
          <w:rFonts w:ascii="Times New Roman" w:hAnsi="Times New Roman"/>
          <w:sz w:val="24"/>
        </w:rPr>
        <w:t>Traditional digital certificate badges simply state that a student clicked through course videos. They provide no cryptographic proof, commit history, or verifiable test logs to substantiate genuine competence to prospective employers.</w:t>
      </w:r>
    </w:p>
    <w:p>
      <w:pPr>
        <w:keepNext/>
        <w:spacing w:before="280" w:after="100"/>
      </w:pPr>
      <w:r>
        <w:rPr>
          <w:rFonts w:ascii="Times New Roman" w:hAnsi="Times New Roman"/>
          <w:b/>
          <w:color w:val="1E3A8A"/>
          <w:sz w:val="28"/>
        </w:rPr>
        <w:t>1.8 Proposed WORKUP System and Key Innovations</w:t>
      </w:r>
    </w:p>
    <w:p>
      <w:pPr>
        <w:spacing w:line="360" w:lineRule="auto" w:after="120"/>
        <w:jc w:val="both"/>
      </w:pPr>
      <w:r>
        <w:rPr>
          <w:rFonts w:ascii="Times New Roman" w:hAnsi="Times New Roman"/>
          <w:sz w:val="24"/>
        </w:rPr>
        <w:t>WORKUP directly overcomes these limitations through four core architectural and pedagogical innovations:</w:t>
      </w:r>
    </w:p>
    <w:p>
      <w:pPr>
        <w:pStyle w:val="ListBullet"/>
        <w:spacing w:line="312" w:lineRule="auto" w:after="80"/>
        <w:jc w:val="both"/>
      </w:pPr>
      <w:r>
        <w:rPr>
          <w:rFonts w:ascii="Times New Roman" w:hAnsi="Times New Roman"/>
          <w:b/>
          <w:sz w:val="24"/>
        </w:rPr>
        <w:t xml:space="preserve">Situated Workplace Simulation: </w:t>
      </w:r>
      <w:r>
        <w:rPr>
          <w:rFonts w:ascii="Times New Roman" w:hAnsi="Times New Roman"/>
          <w:sz w:val="24"/>
        </w:rPr>
        <w:t>WORKUP grounds learning in authentic organizational context. Students enter simulated companies with defined architectures, tech stacks, and team charters, resolving realistic business problems rather than abstract puzzles.</w:t>
      </w:r>
    </w:p>
    <w:p>
      <w:pPr>
        <w:pStyle w:val="ListBullet"/>
        <w:spacing w:line="312" w:lineRule="auto" w:after="80"/>
        <w:jc w:val="both"/>
      </w:pPr>
      <w:r>
        <w:rPr>
          <w:rFonts w:ascii="Times New Roman" w:hAnsi="Times New Roman"/>
          <w:b/>
          <w:sz w:val="24"/>
        </w:rPr>
        <w:t xml:space="preserve">Zero-Install Containerized Workspaces: </w:t>
      </w:r>
      <w:r>
        <w:rPr>
          <w:rFonts w:ascii="Times New Roman" w:hAnsi="Times New Roman"/>
          <w:sz w:val="24"/>
        </w:rPr>
        <w:t>Through automated workspace orchestration, learners launch containerized environments directly from their browser, eliminating environment configuration friction while guaranteeing reproducible execution.</w:t>
      </w:r>
    </w:p>
    <w:p>
      <w:pPr>
        <w:pStyle w:val="ListBullet"/>
        <w:spacing w:line="312" w:lineRule="auto" w:after="80"/>
        <w:jc w:val="both"/>
      </w:pPr>
      <w:r>
        <w:rPr>
          <w:rFonts w:ascii="Times New Roman" w:hAnsi="Times New Roman"/>
          <w:b/>
          <w:sz w:val="24"/>
        </w:rPr>
        <w:t xml:space="preserve">Integrated Lifecycle Workflow: </w:t>
      </w:r>
      <w:r>
        <w:rPr>
          <w:rFonts w:ascii="Times New Roman" w:hAnsi="Times New Roman"/>
          <w:sz w:val="24"/>
        </w:rPr>
        <w:t>The platform unifies the complete development lifecycle: ticket inspection → legacy code investigation → workspace implementation → automated test verification → Git pull request submission → AI Tech Lead review.</w:t>
      </w:r>
    </w:p>
    <w:p>
      <w:pPr>
        <w:pStyle w:val="ListBullet"/>
        <w:spacing w:line="312" w:lineRule="auto" w:after="80"/>
        <w:jc w:val="both"/>
      </w:pPr>
      <w:r>
        <w:rPr>
          <w:rFonts w:ascii="Times New Roman" w:hAnsi="Times New Roman"/>
          <w:b/>
          <w:sz w:val="24"/>
        </w:rPr>
        <w:t xml:space="preserve">Tamper-Evident Evidence of Skill: </w:t>
      </w:r>
      <w:r>
        <w:rPr>
          <w:rFonts w:ascii="Times New Roman" w:hAnsi="Times New Roman"/>
          <w:sz w:val="24"/>
        </w:rPr>
        <w:t>Completed simulations produce an immutable Evidence-of-Skill Dossier linked to verified Git commit SHAs, automated test outputs, and rubric scores, providing recruiters with credible proof of ability.</w:t>
      </w:r>
    </w:p>
    <w:p>
      <w:pPr>
        <w:keepNext/>
        <w:spacing w:before="280" w:after="100"/>
      </w:pPr>
      <w:r>
        <w:rPr>
          <w:rFonts w:ascii="Times New Roman" w:hAnsi="Times New Roman"/>
          <w:b/>
          <w:color w:val="1E3A8A"/>
          <w:sz w:val="28"/>
        </w:rPr>
        <w:t>1.9 Expected Benefits and Pedagogical Impact</w:t>
      </w:r>
    </w:p>
    <w:p>
      <w:pPr>
        <w:spacing w:line="360" w:lineRule="auto" w:after="120"/>
        <w:jc w:val="both"/>
      </w:pPr>
      <w:r>
        <w:rPr>
          <w:rFonts w:ascii="Times New Roman" w:hAnsi="Times New Roman"/>
          <w:sz w:val="24"/>
        </w:rPr>
        <w:t>The deployment of WORKUP offers transformative benefits across three key stakeholder groups:</w:t>
      </w:r>
    </w:p>
    <w:p>
      <w:pPr>
        <w:pStyle w:val="ListBullet"/>
        <w:spacing w:line="312" w:lineRule="auto" w:after="80"/>
        <w:jc w:val="both"/>
      </w:pPr>
      <w:r>
        <w:rPr>
          <w:rFonts w:ascii="Times New Roman" w:hAnsi="Times New Roman"/>
          <w:b/>
          <w:sz w:val="24"/>
        </w:rPr>
        <w:t xml:space="preserve">For Engineering Students: </w:t>
      </w:r>
      <w:r>
        <w:rPr>
          <w:rFonts w:ascii="Times New Roman" w:hAnsi="Times New Roman"/>
          <w:sz w:val="24"/>
        </w:rPr>
        <w:t>Drastically shortens the transition from academia to industry by providing realistic exposure to enterprise codebases, testing practices, and PR review workflows; builds a verified, job-ready portfolio.</w:t>
      </w:r>
    </w:p>
    <w:p>
      <w:pPr>
        <w:pStyle w:val="ListBullet"/>
        <w:spacing w:line="312" w:lineRule="auto" w:after="80"/>
        <w:jc w:val="both"/>
      </w:pPr>
      <w:r>
        <w:rPr>
          <w:rFonts w:ascii="Times New Roman" w:hAnsi="Times New Roman"/>
          <w:b/>
          <w:sz w:val="24"/>
        </w:rPr>
        <w:t xml:space="preserve">For Academic Institutions: </w:t>
      </w:r>
      <w:r>
        <w:rPr>
          <w:rFonts w:ascii="Times New Roman" w:hAnsi="Times New Roman"/>
          <w:sz w:val="24"/>
        </w:rPr>
        <w:t>Equips universities with an automated, scalable experiential learning lab that bridges the gap between theoretical curricula and ABET/ACM industry accreditation standards without requiring faculty overhead.</w:t>
      </w:r>
    </w:p>
    <w:p>
      <w:pPr>
        <w:pStyle w:val="ListBullet"/>
        <w:spacing w:line="312" w:lineRule="auto" w:after="80"/>
        <w:jc w:val="both"/>
      </w:pPr>
      <w:r>
        <w:rPr>
          <w:rFonts w:ascii="Times New Roman" w:hAnsi="Times New Roman"/>
          <w:b/>
          <w:sz w:val="24"/>
        </w:rPr>
        <w:t xml:space="preserve">For Industry Employers: </w:t>
      </w:r>
      <w:r>
        <w:rPr>
          <w:rFonts w:ascii="Times New Roman" w:hAnsi="Times New Roman"/>
          <w:sz w:val="24"/>
        </w:rPr>
        <w:t>Significantly reduces entry-level onboarding time and hiring risk by replacing unverifiable resume buzzwords with commit-backed, rubric-evaluated Evidence-of-Skill dossiers.</w:t>
      </w:r>
    </w:p>
    <w:p>
      <w:pPr>
        <w:keepNext/>
        <w:spacing w:before="280" w:after="100"/>
      </w:pPr>
      <w:r>
        <w:rPr>
          <w:rFonts w:ascii="Times New Roman" w:hAnsi="Times New Roman"/>
          <w:b/>
          <w:color w:val="1E3A8A"/>
          <w:sz w:val="28"/>
        </w:rPr>
        <w:t>1.10 Feasibility, Assumptions, and Constraints</w:t>
      </w:r>
    </w:p>
    <w:p>
      <w:pPr>
        <w:spacing w:line="360" w:lineRule="auto" w:after="120"/>
        <w:jc w:val="both"/>
      </w:pPr>
      <w:r>
        <w:rPr>
          <w:rFonts w:ascii="Times New Roman" w:hAnsi="Times New Roman"/>
          <w:sz w:val="24"/>
        </w:rPr>
        <w:t>The feasibility of WORKUP is demonstrated across technical, operational, and economic dimensions:</w:t>
      </w:r>
    </w:p>
    <w:p>
      <w:pPr>
        <w:pStyle w:val="ListBullet"/>
        <w:spacing w:line="312" w:lineRule="auto" w:after="80"/>
        <w:jc w:val="both"/>
      </w:pPr>
      <w:r>
        <w:rPr>
          <w:rFonts w:ascii="Times New Roman" w:hAnsi="Times New Roman"/>
          <w:b/>
          <w:sz w:val="24"/>
        </w:rPr>
        <w:t xml:space="preserve">Technical Feasibility: </w:t>
      </w:r>
      <w:r>
        <w:rPr>
          <w:rFonts w:ascii="Times New Roman" w:hAnsi="Times New Roman"/>
          <w:sz w:val="24"/>
        </w:rPr>
        <w:t>The application is built on proven, production-grade technologies — Next.js 14, React 18, TypeScript, and Prisma ORM. Local process jailing has been fully implemented and verified via automated Vitest suites.</w:t>
      </w:r>
    </w:p>
    <w:p>
      <w:pPr>
        <w:pStyle w:val="ListBullet"/>
        <w:spacing w:line="312" w:lineRule="auto" w:after="80"/>
        <w:jc w:val="both"/>
      </w:pPr>
      <w:r>
        <w:rPr>
          <w:rFonts w:ascii="Times New Roman" w:hAnsi="Times New Roman"/>
          <w:b/>
          <w:sz w:val="24"/>
        </w:rPr>
        <w:t xml:space="preserve">Operational Feasibility: </w:t>
      </w:r>
      <w:r>
        <w:rPr>
          <w:rFonts w:ascii="Times New Roman" w:hAnsi="Times New Roman"/>
          <w:sz w:val="24"/>
        </w:rPr>
        <w:t>The system operates seamlessly on standard commodity hardware (Node.js 18+, local SQLite database), requiring zero costly cloud subscriptions during academic demonstration and development.</w:t>
      </w:r>
    </w:p>
    <w:p>
      <w:pPr>
        <w:pStyle w:val="ListBullet"/>
        <w:spacing w:line="312" w:lineRule="auto" w:after="80"/>
        <w:jc w:val="both"/>
      </w:pPr>
      <w:r>
        <w:rPr>
          <w:rFonts w:ascii="Times New Roman" w:hAnsi="Times New Roman"/>
          <w:b/>
          <w:sz w:val="24"/>
        </w:rPr>
        <w:t xml:space="preserve">Economic Feasibility: </w:t>
      </w:r>
      <w:r>
        <w:rPr>
          <w:rFonts w:ascii="Times New Roman" w:hAnsi="Times New Roman"/>
          <w:sz w:val="24"/>
        </w:rPr>
        <w:t>By utilizing open-source runtimes and local container sandboxing for the Stage-I prototype, development incurs zero licensing costs. Future cloud scaling utilizes container hibernation and compute quotas to ensure strict cost control.</w:t>
      </w:r>
    </w:p>
    <w:p>
      <w:pPr>
        <w:pStyle w:val="ListBullet"/>
        <w:spacing w:line="312" w:lineRule="auto" w:after="80"/>
        <w:jc w:val="both"/>
      </w:pPr>
      <w:r>
        <w:rPr>
          <w:rFonts w:ascii="Times New Roman" w:hAnsi="Times New Roman"/>
          <w:b/>
          <w:sz w:val="24"/>
        </w:rPr>
        <w:t xml:space="preserve">System Constraints: </w:t>
      </w:r>
      <w:r>
        <w:rPr>
          <w:rFonts w:ascii="Times New Roman" w:hAnsi="Times New Roman"/>
          <w:sz w:val="24"/>
        </w:rPr>
        <w:t>Stage-I is bounded to single-node server environments and local process execution; multi-tenant Kubernetes clustering and third-party LLM API integration are intentionally designated as Stage-II deliverables.</w:t>
      </w:r>
    </w:p>
    <w:p>
      <w:r>
        <w:br w:type="page"/>
      </w:r>
    </w:p>
    <w:p>
      <w:pPr>
        <w:keepNext/>
        <w:spacing w:before="320" w:after="280"/>
        <w:jc w:val="center"/>
      </w:pPr>
      <w:r>
        <w:rPr>
          <w:rFonts w:ascii="Times New Roman" w:hAnsi="Times New Roman"/>
          <w:b/>
          <w:color w:val="1E3A8A"/>
          <w:sz w:val="32"/>
        </w:rPr>
        <w:t>CHAPTER 2</w:t>
        <w:br/>
        <w:t>LITERATURE SURVEY</w:t>
      </w:r>
    </w:p>
    <w:p>
      <w:pPr>
        <w:keepNext/>
        <w:spacing w:before="280" w:after="100"/>
      </w:pPr>
      <w:r>
        <w:rPr>
          <w:rFonts w:ascii="Times New Roman" w:hAnsi="Times New Roman"/>
          <w:b/>
          <w:color w:val="1E3A8A"/>
          <w:sz w:val="28"/>
        </w:rPr>
        <w:t>2.1 Introduction to the Research Area</w:t>
      </w:r>
    </w:p>
    <w:p>
      <w:pPr>
        <w:spacing w:line="360" w:lineRule="auto" w:after="120"/>
        <w:jc w:val="both"/>
      </w:pPr>
      <w:r>
        <w:rPr>
          <w:rFonts w:ascii="Times New Roman" w:hAnsi="Times New Roman"/>
          <w:sz w:val="24"/>
        </w:rPr>
        <w:t>The theoretical foundation of this project is situated at the intersection of three major computing and educational research domains: Experiential and Work-Integrated Learning (WIL), Project-Based Software Engineering Education, and Cloud Development Environments. Over the past three decades, educational researchers and computing pedagogues have continuously highlighted the inadequacy of static lectures for imparting software development competence. To establish a rigorous scholarly basis for WORKUP, this chapter conducts a comprehensive literature survey of foundational learning theories, empirical software engineering education studies, and modern cloud/AI evaluation platforms.</w:t>
      </w:r>
    </w:p>
    <w:p>
      <w:pPr>
        <w:keepNext/>
        <w:spacing w:before="280" w:after="100"/>
      </w:pPr>
      <w:r>
        <w:rPr>
          <w:rFonts w:ascii="Times New Roman" w:hAnsi="Times New Roman"/>
          <w:b/>
          <w:color w:val="1E3A8A"/>
          <w:sz w:val="28"/>
        </w:rPr>
        <w:t>2.2 Review of Relevant Academic Research Papers</w:t>
      </w:r>
    </w:p>
    <w:p>
      <w:pPr>
        <w:keepNext/>
        <w:spacing w:before="200" w:after="60"/>
      </w:pPr>
      <w:r>
        <w:rPr>
          <w:rFonts w:ascii="Times New Roman" w:hAnsi="Times New Roman"/>
          <w:b/>
          <w:color w:val="0F172A"/>
          <w:sz w:val="25"/>
        </w:rPr>
        <w:t>2.2.1 Simulation in Software Engineering Education</w:t>
      </w:r>
    </w:p>
    <w:p>
      <w:pPr>
        <w:spacing w:line="360" w:lineRule="auto" w:after="120"/>
        <w:jc w:val="both"/>
      </w:pPr>
      <w:r>
        <w:rPr>
          <w:rFonts w:ascii="Times New Roman" w:hAnsi="Times New Roman"/>
          <w:sz w:val="24"/>
        </w:rPr>
        <w:t>A landmark contribution to simulation-based computing pedagogy was established by Navarro and van der Hoek [1] in their seminal work on SimSE. The authors recognized that traditional software engineering courses suffer from severe time constraints: within a single academic semester, students cannot realistically experience the multi-month consequences of poor architectural decisions, scope creep, personnel turnover, or inadequate testing.</w:t>
      </w:r>
    </w:p>
    <w:p>
      <w:pPr>
        <w:spacing w:line="360" w:lineRule="auto" w:after="120"/>
        <w:jc w:val="both"/>
      </w:pPr>
      <w:r>
        <w:rPr>
          <w:rFonts w:ascii="Times New Roman" w:hAnsi="Times New Roman"/>
          <w:sz w:val="24"/>
        </w:rPr>
        <w:t>To address this, the authors created SimSE, an interactive graphical educational simulation game where students assume the role of a software project manager. Learners allocate budgets, assign developers to lifecycle phases (Waterfall, Prototyping, Agile), and manage process trade-offs. While empirical multi-site evaluations proved that SimSE dramatically enhanced student understanding of software process dynamics, the authors acknowledged a fundamental limitation: SimSE is strictly a high-level managerial simulation. Students manipulate abstract UI controls rather than writing, debugging, testing, or committing actual source code. WORKUP directly builds upon SimSE's process simulation concept but bridges the critical gap by integrating real code repositories, cloud IDE workspaces, and automated test runners.</w:t>
      </w:r>
    </w:p>
    <w:p>
      <w:pPr>
        <w:spacing w:line="360" w:lineRule="auto" w:after="120"/>
        <w:jc w:val="both"/>
      </w:pPr>
      <w:r>
        <w:rPr>
          <w:rFonts w:ascii="Times New Roman" w:hAnsi="Times New Roman"/>
          <w:sz w:val="24"/>
        </w:rPr>
        <w:t>Similarly, Sharp and Hall [2] introduced the concept of an "Interactive Software House Simulation" for graduate computing students. The authors created "RunCo," a simulated multimedia enterprise where students assumed specific corporate roles (systems analyst, programmer, quality assurance engineer) and responded to stakeholder memos, customer complaints, and design constraints. Their empirical findings showed that role-based organizational immersion drastically heightened student appreciation for software quality and inter-team communication. However, developed during the multimedia CD-ROM era, the system lacked integrated cloud compilers, automated pull request workflows, and live execution sandboxes — capabilities that WORKUP realizes through modern web technologies.</w:t>
      </w:r>
    </w:p>
    <w:p>
      <w:pPr>
        <w:keepNext/>
        <w:spacing w:before="200" w:after="60"/>
      </w:pPr>
      <w:r>
        <w:rPr>
          <w:rFonts w:ascii="Times New Roman" w:hAnsi="Times New Roman"/>
          <w:b/>
          <w:color w:val="0F172A"/>
          <w:sz w:val="25"/>
        </w:rPr>
        <w:t>2.2.2 Industry-Academia Skill Deficits</w:t>
      </w:r>
    </w:p>
    <w:p>
      <w:pPr>
        <w:spacing w:line="360" w:lineRule="auto" w:after="120"/>
        <w:jc w:val="both"/>
      </w:pPr>
      <w:r>
        <w:rPr>
          <w:rFonts w:ascii="Times New Roman" w:hAnsi="Times New Roman"/>
          <w:sz w:val="24"/>
        </w:rPr>
        <w:t>The necessity for realistic workplace platforms is underscored by the systematic literature review conducted by Radermacher and Walia [3]. Analyzing dozens of empirical studies across industry and academia, the authors categorized the primary skill deficits observed in newly graduated computer science students upon entering the software industry. Their findings revealed that while graduates possess acceptable theoretical knowledge of algorithms and syntax, they demonstrate profound deficiencies in: (1) navigating large, pre-existing legacy codebases; (2) writing comprehensive unit and integration tests; (3) participating in code reviews and version control branching strategies; and (4) translating ambiguous business problems into technical architectures. The authors concluded that academic curricula must incorporate authentic industry tools and workflows. Radermacher and Walia's findings provide empirical validation for the specific feature set engineered into WORKUP.</w:t>
      </w:r>
    </w:p>
    <w:p>
      <w:pPr>
        <w:spacing w:line="360" w:lineRule="auto" w:after="120"/>
        <w:jc w:val="both"/>
      </w:pPr>
      <w:r>
        <w:rPr>
          <w:rFonts w:ascii="Times New Roman" w:hAnsi="Times New Roman"/>
          <w:sz w:val="24"/>
        </w:rPr>
        <w:t>Reinforcing these conclusions, Garousi et al. [6] evaluated an industry-academia collaborative model designed to close the graduate skill gap. By embedding industrial issue tracking, Architectural Decision Records (ADRs), and mandatory pull request code reviews into university capstone courses, the authors observed a 40% reduction in corporate onboarding time and a marked improvement in student architectural maturity. However, the authors noted that manual industry-academia partnerships are notoriously difficult to scale across large student cohorts due to sponsor availability constraints. WORKUP addresses this scalability bottleneck by automating the simulated company, task backlogs, and code review processes in software.</w:t>
      </w:r>
    </w:p>
    <w:p>
      <w:pPr>
        <w:keepNext/>
        <w:spacing w:before="200" w:after="60"/>
      </w:pPr>
      <w:r>
        <w:rPr>
          <w:rFonts w:ascii="Times New Roman" w:hAnsi="Times New Roman"/>
          <w:b/>
          <w:color w:val="0F172A"/>
          <w:sz w:val="25"/>
        </w:rPr>
        <w:t>2.2.3 Lightweight Containerization and Cloud Workspaces</w:t>
      </w:r>
    </w:p>
    <w:p>
      <w:pPr>
        <w:spacing w:line="360" w:lineRule="auto" w:after="120"/>
        <w:jc w:val="both"/>
      </w:pPr>
      <w:r>
        <w:rPr>
          <w:rFonts w:ascii="Times New Roman" w:hAnsi="Times New Roman"/>
          <w:sz w:val="24"/>
        </w:rPr>
        <w:t>A core technical challenge in hands-on computing education is environment configuration friction. Kratzke [4] conducted a rigorous empirical evaluation on the suitability of lightweight containerization (Docker) for programming education. The author documented that computer science instructors frequently spend over 25% of laboratory time troubleshooting heterogeneous student operating system issues ("it works on my machine" syndrome). Furthermore, executing untrusted student code on centralized grading servers presents severe security risks.</w:t>
      </w:r>
    </w:p>
    <w:p>
      <w:pPr>
        <w:spacing w:line="360" w:lineRule="auto" w:after="120"/>
        <w:jc w:val="both"/>
      </w:pPr>
      <w:r>
        <w:rPr>
          <w:rFonts w:ascii="Times New Roman" w:hAnsi="Times New Roman"/>
          <w:sz w:val="24"/>
        </w:rPr>
        <w:t>Kratzke demonstrated that containerized microservice architectures provide near-native execution speed, complete multi-tenant filesystem isolation, bounded CPU/RAM resource quotas, and 100% reproducible execution pipelines across diverse host environments. Kratzke's research serves as the architectural foundation for WORKUP's workspace orchestration engine, justifying the implementation of directory-jailed process sandboxes with strict execution timeouts and resource caps.</w:t>
      </w:r>
    </w:p>
    <w:p>
      <w:pPr>
        <w:keepNext/>
        <w:spacing w:before="200" w:after="60"/>
      </w:pPr>
      <w:r>
        <w:rPr>
          <w:rFonts w:ascii="Times New Roman" w:hAnsi="Times New Roman"/>
          <w:b/>
          <w:color w:val="0F172A"/>
          <w:sz w:val="25"/>
        </w:rPr>
        <w:t>2.2.4 Formative Code Review via Large Language Models</w:t>
      </w:r>
    </w:p>
    <w:p>
      <w:pPr>
        <w:spacing w:line="360" w:lineRule="auto" w:after="120"/>
        <w:jc w:val="both"/>
      </w:pPr>
      <w:r>
        <w:rPr>
          <w:rFonts w:ascii="Times New Roman" w:hAnsi="Times New Roman"/>
          <w:sz w:val="24"/>
        </w:rPr>
        <w:t>Traditional automated grading systems rely exclusively on unit test assertions (pass/fail), providing zero qualitative guidance regarding code style, architectural anti-patterns, or maintainability. MacNeil et al. [5] investigated the generation of automated formative code feedback using Large Language Models (LLMs). The authors integrated an LLM pipeline to analyze student code submissions against reference solutions and test traces, generating natural language, line-anchored explanations.</w:t>
      </w:r>
    </w:p>
    <w:p>
      <w:pPr>
        <w:spacing w:line="360" w:lineRule="auto" w:after="120"/>
        <w:jc w:val="both"/>
      </w:pPr>
      <w:r>
        <w:rPr>
          <w:rFonts w:ascii="Times New Roman" w:hAnsi="Times New Roman"/>
          <w:sz w:val="24"/>
        </w:rPr>
        <w:t>Their empirical evaluations revealed that LLM-generated formative feedback significantly accelerated student debugging and encouraged self-regulated refactoring without prematurely revealing solutions. However, the authors highlighted critical risks: LLMs frequently hallucinate or generate overly generic suggestions when unconstrained. To maintain feedback accuracy, the authors emphasized the necessity of grounding LLM reviews in deterministic test outputs and strict rubric constraints. This insight directly informs WORKUP's AI Tech Lead architecture, which combines deterministic Vitest execution results with structured rubric scoring.</w:t>
      </w:r>
    </w:p>
    <w:p>
      <w:pPr>
        <w:keepNext/>
        <w:spacing w:before="200" w:after="60"/>
      </w:pPr>
      <w:r>
        <w:rPr>
          <w:rFonts w:ascii="Times New Roman" w:hAnsi="Times New Roman"/>
          <w:b/>
          <w:color w:val="0F172A"/>
          <w:sz w:val="25"/>
        </w:rPr>
        <w:t>2.2.5 Foundational Learning Theories</w:t>
      </w:r>
    </w:p>
    <w:p>
      <w:pPr>
        <w:spacing w:line="360" w:lineRule="auto" w:after="120"/>
        <w:jc w:val="both"/>
      </w:pPr>
      <w:r>
        <w:rPr>
          <w:rFonts w:ascii="Times New Roman" w:hAnsi="Times New Roman"/>
          <w:sz w:val="24"/>
        </w:rPr>
        <w:t>WORKUP's educational design is anchored in two foundational learning theories: David Kolb's Experiential Learning Theory [7] and Jean Lave and Etienne Wenger's Theory of Situated Cognition [8].</w:t>
      </w:r>
    </w:p>
    <w:p>
      <w:pPr>
        <w:spacing w:line="360" w:lineRule="auto" w:after="120"/>
        <w:jc w:val="both"/>
      </w:pPr>
      <w:r>
        <w:rPr>
          <w:rFonts w:ascii="Times New Roman" w:hAnsi="Times New Roman"/>
          <w:sz w:val="24"/>
        </w:rPr>
        <w:t>Kolb's Experiential Learning Cycle posits that authentic learning occurs through a continuous four-stage spiral: (1) Concrete Experience; (2) Reflective Observation; (3) Abstract Conceptualization; and (4) Active Experimentation. WORKUP maps directly onto Kolb's cycle: learners engage in Concrete Experience by writing code inside containerized workspaces; engage in Reflective Observation by analyzing test failure traces and line-level PR reviews; undergo Abstract Conceptualization by studying Architecture Decision Records (ADRs) and business problem specifications; and practice Active Experimentation by refactoring implementations and resolving simulated production incidents.</w:t>
      </w:r>
    </w:p>
    <w:p>
      <w:pPr>
        <w:spacing w:line="360" w:lineRule="auto" w:after="120"/>
        <w:jc w:val="both"/>
      </w:pPr>
      <w:r>
        <w:rPr>
          <w:rFonts w:ascii="Times New Roman" w:hAnsi="Times New Roman"/>
          <w:sz w:val="24"/>
        </w:rPr>
        <w:t>Similarly, Lave and Wenger's Situated Cognition theory demonstrates that learning is inherently situated within cultural and social contexts. Knowledge acquired in decontextualized environments (such as solving synthetic algorithmic puzzles on LeetCode) does not transfer effectively to complex social practice. By embedding learners within simulated engineering teams with distinct cultures, tech leads, and architectural debt, WORKUP operationalizes situated learning for the digital computing era.</w:t>
      </w:r>
    </w:p>
    <w:p>
      <w:pPr>
        <w:keepNext/>
        <w:spacing w:before="280" w:after="100"/>
      </w:pPr>
      <w:r>
        <w:rPr>
          <w:rFonts w:ascii="Times New Roman" w:hAnsi="Times New Roman"/>
          <w:b/>
          <w:color w:val="1E3A8A"/>
          <w:sz w:val="28"/>
        </w:rPr>
        <w:t>2.3 Review of Existing Commercial and Industrial Platforms</w:t>
      </w:r>
    </w:p>
    <w:p>
      <w:pPr>
        <w:spacing w:line="360" w:lineRule="auto" w:after="120"/>
        <w:jc w:val="both"/>
      </w:pPr>
      <w:r>
        <w:rPr>
          <w:rFonts w:ascii="Times New Roman" w:hAnsi="Times New Roman"/>
          <w:sz w:val="24"/>
        </w:rPr>
        <w:t>In addition to academic literature, current commercial and open-source platforms were investigated to establish state-of-the-art benchmarks:</w:t>
      </w:r>
    </w:p>
    <w:p>
      <w:pPr>
        <w:pStyle w:val="ListBullet"/>
        <w:spacing w:line="312" w:lineRule="auto" w:after="80"/>
        <w:jc w:val="both"/>
      </w:pPr>
      <w:r>
        <w:rPr>
          <w:rFonts w:ascii="Times New Roman" w:hAnsi="Times New Roman"/>
          <w:b/>
          <w:sz w:val="24"/>
        </w:rPr>
        <w:t xml:space="preserve">Crio.Do: </w:t>
      </w:r>
      <w:r>
        <w:rPr>
          <w:rFonts w:ascii="Times New Roman" w:hAnsi="Times New Roman"/>
          <w:sz w:val="24"/>
        </w:rPr>
        <w:t>A developer-focused applied learning platform where students build real-world software applications (e.g., QBox, QMoney, QEats) through structured milestone workbooks. While Crio.Do successfully transitions students to multi-file projects, it lacks simulated enterprise company context, has no team topologies, omits Architectural Decision Records (ADRs), does not simulate pull request reviews, and provides no synthetic production telemetry.</w:t>
      </w:r>
    </w:p>
    <w:p>
      <w:pPr>
        <w:pStyle w:val="ListBullet"/>
        <w:spacing w:line="312" w:lineRule="auto" w:after="80"/>
        <w:jc w:val="both"/>
      </w:pPr>
      <w:r>
        <w:rPr>
          <w:rFonts w:ascii="Times New Roman" w:hAnsi="Times New Roman"/>
          <w:b/>
          <w:sz w:val="24"/>
        </w:rPr>
        <w:t xml:space="preserve">Forage (formerly InsideSherpa): </w:t>
      </w:r>
      <w:r>
        <w:rPr>
          <w:rFonts w:ascii="Times New Roman" w:hAnsi="Times New Roman"/>
          <w:sz w:val="24"/>
        </w:rPr>
        <w:t>A platform offering free virtual work experience programs co-branded with multinational enterprises (e.g., JPMorgan Chase, Accenture). While Forage provides excellent corporate problem descriptions, it is completely non-interactive: students submit static documents (PowerPoints or ZIP files) without a live development workspace, automated test execution, or line-by-line feedback.</w:t>
      </w:r>
    </w:p>
    <w:p>
      <w:pPr>
        <w:pStyle w:val="ListBullet"/>
        <w:spacing w:line="312" w:lineRule="auto" w:after="80"/>
        <w:jc w:val="both"/>
      </w:pPr>
      <w:r>
        <w:rPr>
          <w:rFonts w:ascii="Times New Roman" w:hAnsi="Times New Roman"/>
          <w:b/>
          <w:sz w:val="24"/>
        </w:rPr>
        <w:t xml:space="preserve">LeetCode and HackerRank: </w:t>
      </w:r>
      <w:r>
        <w:rPr>
          <w:rFonts w:ascii="Times New Roman" w:hAnsi="Times New Roman"/>
          <w:sz w:val="24"/>
        </w:rPr>
        <w:t>Competitive programming platforms focused strictly on Data Structures and Algorithms (DSA). Solutions are evaluated against hidden test cases in single-file browser editors. While highly scalable, they are entirely detached from real-world software engineering practices.</w:t>
      </w:r>
    </w:p>
    <w:p>
      <w:pPr>
        <w:pStyle w:val="ListBullet"/>
        <w:spacing w:line="312" w:lineRule="auto" w:after="80"/>
        <w:jc w:val="both"/>
      </w:pPr>
      <w:r>
        <w:rPr>
          <w:rFonts w:ascii="Times New Roman" w:hAnsi="Times New Roman"/>
          <w:b/>
          <w:sz w:val="24"/>
        </w:rPr>
        <w:t xml:space="preserve">GitHub Codespaces and Gitpod: </w:t>
      </w:r>
      <w:r>
        <w:rPr>
          <w:rFonts w:ascii="Times New Roman" w:hAnsi="Times New Roman"/>
          <w:sz w:val="24"/>
        </w:rPr>
        <w:t>Cloud-hosted development environments providing browser-based VS Code running inside Docker containers. While offering exceptional developer tooling, they are pure infrastructure platforms devoid of pedagogical scaffolding, task dependencies, or automated evaluation rubrics.</w:t>
      </w:r>
    </w:p>
    <w:p>
      <w:pPr>
        <w:keepNext/>
        <w:spacing w:before="280" w:after="100"/>
      </w:pPr>
      <w:r>
        <w:rPr>
          <w:rFonts w:ascii="Times New Roman" w:hAnsi="Times New Roman"/>
          <w:b/>
          <w:color w:val="1E3A8A"/>
          <w:sz w:val="28"/>
        </w:rPr>
        <w:t>2.4 Comprehensive Comparative Analysis Matrix</w:t>
      </w:r>
    </w:p>
    <w:p>
      <w:pPr>
        <w:spacing w:line="360" w:lineRule="auto" w:after="120"/>
        <w:jc w:val="both"/>
      </w:pPr>
      <w:r>
        <w:rPr>
          <w:rFonts w:ascii="Times New Roman" w:hAnsi="Times New Roman"/>
          <w:sz w:val="24"/>
        </w:rPr>
        <w:t>To clearly distinguish WORKUP from existing platforms and highlight its multi-faceted architectural synthesis, Table 2.1 presents a comprehensive comparative analysis across eight key educational and technical dimensions:</w:t>
      </w:r>
    </w:p>
    <w:p>
      <w:pPr>
        <w:spacing w:before="160" w:after="40"/>
        <w:jc w:val="center"/>
      </w:pPr>
      <w:r>
        <w:rPr>
          <w:rFonts w:ascii="Times New Roman" w:hAnsi="Times New Roman"/>
          <w:b/>
          <w:i/>
          <w:color w:val="1E3A8A"/>
          <w:sz w:val="20"/>
        </w:rPr>
        <w:t>Table 2.1: Comprehensive Comparative Analysis of Existing Platforms vs. Proposed WORKUP Platform.</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c>
          <w:tcPr>
            <w:tcW w:type="dxa" w:w="1728"/>
            <w:shd w:fill="1e3a8a"/>
            <w:tcMar>
              <w:top w:w="80" w:type="dxa"/>
              <w:bottom w:w="80" w:type="dxa"/>
              <w:left w:w="80" w:type="dxa"/>
              <w:right w:w="80" w:type="dxa"/>
            </w:tcMar>
          </w:tcPr>
          <w:p>
            <w:pPr>
              <w:spacing w:after="0"/>
              <w:jc w:val="center"/>
            </w:pPr>
            <w:r>
              <w:rPr>
                <w:rFonts w:ascii="Times New Roman" w:hAnsi="Times New Roman"/>
                <w:b/>
                <w:color w:val="FFFFFF"/>
                <w:sz w:val="19"/>
              </w:rPr>
              <w:t>Dimension / Feature</w:t>
            </w:r>
          </w:p>
        </w:tc>
        <w:tc>
          <w:tcPr>
            <w:tcW w:type="dxa" w:w="1440"/>
            <w:shd w:fill="1e3a8a"/>
            <w:tcMar>
              <w:top w:w="80" w:type="dxa"/>
              <w:bottom w:w="80" w:type="dxa"/>
              <w:left w:w="80" w:type="dxa"/>
              <w:right w:w="80" w:type="dxa"/>
            </w:tcMar>
          </w:tcPr>
          <w:p>
            <w:pPr>
              <w:spacing w:after="0"/>
              <w:jc w:val="center"/>
            </w:pPr>
            <w:r>
              <w:rPr>
                <w:rFonts w:ascii="Times New Roman" w:hAnsi="Times New Roman"/>
                <w:b/>
                <w:color w:val="FFFFFF"/>
                <w:sz w:val="19"/>
              </w:rPr>
              <w:t>MOOCs (Coursera)</w:t>
            </w:r>
          </w:p>
        </w:tc>
        <w:tc>
          <w:tcPr>
            <w:tcW w:type="dxa" w:w="1440"/>
            <w:shd w:fill="1e3a8a"/>
            <w:tcMar>
              <w:top w:w="80" w:type="dxa"/>
              <w:bottom w:w="80" w:type="dxa"/>
              <w:left w:w="80" w:type="dxa"/>
              <w:right w:w="80" w:type="dxa"/>
            </w:tcMar>
          </w:tcPr>
          <w:p>
            <w:pPr>
              <w:spacing w:after="0"/>
              <w:jc w:val="center"/>
            </w:pPr>
            <w:r>
              <w:rPr>
                <w:rFonts w:ascii="Times New Roman" w:hAnsi="Times New Roman"/>
                <w:b/>
                <w:color w:val="FFFFFF"/>
                <w:sz w:val="19"/>
              </w:rPr>
              <w:t>Coding (LeetCode)</w:t>
            </w:r>
          </w:p>
        </w:tc>
        <w:tc>
          <w:tcPr>
            <w:tcW w:type="dxa" w:w="1440"/>
            <w:shd w:fill="1e3a8a"/>
            <w:tcMar>
              <w:top w:w="80" w:type="dxa"/>
              <w:bottom w:w="80" w:type="dxa"/>
              <w:left w:w="80" w:type="dxa"/>
              <w:right w:w="80" w:type="dxa"/>
            </w:tcMar>
          </w:tcPr>
          <w:p>
            <w:pPr>
              <w:spacing w:after="0"/>
              <w:jc w:val="center"/>
            </w:pPr>
            <w:r>
              <w:rPr>
                <w:rFonts w:ascii="Times New Roman" w:hAnsi="Times New Roman"/>
                <w:b/>
                <w:color w:val="FFFFFF"/>
                <w:sz w:val="19"/>
              </w:rPr>
              <w:t>Projects (Crio.Do)</w:t>
            </w:r>
          </w:p>
        </w:tc>
        <w:tc>
          <w:tcPr>
            <w:tcW w:type="dxa" w:w="1440"/>
            <w:shd w:fill="1e3a8a"/>
            <w:tcMar>
              <w:top w:w="80" w:type="dxa"/>
              <w:bottom w:w="80" w:type="dxa"/>
              <w:left w:w="80" w:type="dxa"/>
              <w:right w:w="80" w:type="dxa"/>
            </w:tcMar>
          </w:tcPr>
          <w:p>
            <w:pPr>
              <w:spacing w:after="0"/>
              <w:jc w:val="center"/>
            </w:pPr>
            <w:r>
              <w:rPr>
                <w:rFonts w:ascii="Times New Roman" w:hAnsi="Times New Roman"/>
                <w:b/>
                <w:color w:val="FFFFFF"/>
                <w:sz w:val="19"/>
              </w:rPr>
              <w:t>Sims (Forage)</w:t>
            </w:r>
          </w:p>
        </w:tc>
        <w:tc>
          <w:tcPr>
            <w:tcW w:type="dxa" w:w="1541"/>
            <w:shd w:fill="1e3a8a"/>
            <w:tcMar>
              <w:top w:w="80" w:type="dxa"/>
              <w:bottom w:w="80" w:type="dxa"/>
              <w:left w:w="80" w:type="dxa"/>
              <w:right w:w="80" w:type="dxa"/>
            </w:tcMar>
          </w:tcPr>
          <w:p>
            <w:pPr>
              <w:spacing w:after="0"/>
              <w:jc w:val="center"/>
            </w:pPr>
            <w:r>
              <w:rPr>
                <w:rFonts w:ascii="Times New Roman" w:hAnsi="Times New Roman"/>
                <w:b/>
                <w:color w:val="FFFFFF"/>
                <w:sz w:val="19"/>
              </w:rPr>
              <w:t>Proposed WORKUP</w:t>
            </w:r>
          </w:p>
        </w:tc>
      </w:tr>
      <w:tr>
        <w:tc>
          <w:tcPr>
            <w:tcW w:type="dxa" w:w="1728"/>
            <w:shd w:fill="ffffff"/>
            <w:tcMar>
              <w:top w:w="60" w:type="dxa"/>
              <w:bottom w:w="60" w:type="dxa"/>
              <w:left w:w="60" w:type="dxa"/>
              <w:right w:w="60" w:type="dxa"/>
            </w:tcMar>
          </w:tcPr>
          <w:p>
            <w:pPr>
              <w:spacing w:line="276" w:lineRule="auto" w:after="0"/>
            </w:pPr>
            <w:r>
              <w:rPr>
                <w:rFonts w:ascii="Times New Roman" w:hAnsi="Times New Roman"/>
                <w:b/>
                <w:color w:val="0F172A"/>
                <w:sz w:val="18"/>
              </w:rPr>
              <w:t>Learning Mode</w:t>
            </w:r>
          </w:p>
        </w:tc>
        <w:tc>
          <w:tcPr>
            <w:tcW w:type="dxa" w:w="1440"/>
            <w:shd w:fill="ffffff"/>
            <w:tcMar>
              <w:top w:w="60" w:type="dxa"/>
              <w:bottom w:w="60" w:type="dxa"/>
              <w:left w:w="60" w:type="dxa"/>
              <w:right w:w="60" w:type="dxa"/>
            </w:tcMar>
          </w:tcPr>
          <w:p>
            <w:pPr>
              <w:spacing w:line="276" w:lineRule="auto" w:after="0"/>
            </w:pPr>
            <w:r>
              <w:rPr>
                <w:rFonts w:ascii="Times New Roman" w:hAnsi="Times New Roman"/>
                <w:sz w:val="18"/>
              </w:rPr>
              <w:t>Passive video lectures &amp; quizzes</w:t>
            </w:r>
          </w:p>
        </w:tc>
        <w:tc>
          <w:tcPr>
            <w:tcW w:type="dxa" w:w="1440"/>
            <w:shd w:fill="ffffff"/>
            <w:tcMar>
              <w:top w:w="60" w:type="dxa"/>
              <w:bottom w:w="60" w:type="dxa"/>
              <w:left w:w="60" w:type="dxa"/>
              <w:right w:w="60" w:type="dxa"/>
            </w:tcMar>
          </w:tcPr>
          <w:p>
            <w:pPr>
              <w:spacing w:line="276" w:lineRule="auto" w:after="0"/>
            </w:pPr>
            <w:r>
              <w:rPr>
                <w:rFonts w:ascii="Times New Roman" w:hAnsi="Times New Roman"/>
                <w:sz w:val="18"/>
              </w:rPr>
              <w:t>Isolated single-file puzzles</w:t>
            </w:r>
          </w:p>
        </w:tc>
        <w:tc>
          <w:tcPr>
            <w:tcW w:type="dxa" w:w="1440"/>
            <w:shd w:fill="ffffff"/>
            <w:tcMar>
              <w:top w:w="60" w:type="dxa"/>
              <w:bottom w:w="60" w:type="dxa"/>
              <w:left w:w="60" w:type="dxa"/>
              <w:right w:w="60" w:type="dxa"/>
            </w:tcMar>
          </w:tcPr>
          <w:p>
            <w:pPr>
              <w:spacing w:line="276" w:lineRule="auto" w:after="0"/>
            </w:pPr>
            <w:r>
              <w:rPr>
                <w:rFonts w:ascii="Times New Roman" w:hAnsi="Times New Roman"/>
                <w:sz w:val="18"/>
              </w:rPr>
              <w:t>Sequential project workbooks</w:t>
            </w:r>
          </w:p>
        </w:tc>
        <w:tc>
          <w:tcPr>
            <w:tcW w:type="dxa" w:w="1440"/>
            <w:shd w:fill="ffffff"/>
            <w:tcMar>
              <w:top w:w="60" w:type="dxa"/>
              <w:bottom w:w="60" w:type="dxa"/>
              <w:left w:w="60" w:type="dxa"/>
              <w:right w:w="60" w:type="dxa"/>
            </w:tcMar>
          </w:tcPr>
          <w:p>
            <w:pPr>
              <w:spacing w:line="276" w:lineRule="auto" w:after="0"/>
            </w:pPr>
            <w:r>
              <w:rPr>
                <w:rFonts w:ascii="Times New Roman" w:hAnsi="Times New Roman"/>
                <w:sz w:val="18"/>
              </w:rPr>
              <w:t>Static case study uploads</w:t>
            </w:r>
          </w:p>
        </w:tc>
        <w:tc>
          <w:tcPr>
            <w:tcW w:type="dxa" w:w="1541"/>
            <w:shd w:fill="ffffff"/>
            <w:tcMar>
              <w:top w:w="60" w:type="dxa"/>
              <w:bottom w:w="60" w:type="dxa"/>
              <w:left w:w="60" w:type="dxa"/>
              <w:right w:w="60" w:type="dxa"/>
            </w:tcMar>
          </w:tcPr>
          <w:p>
            <w:pPr>
              <w:spacing w:line="276" w:lineRule="auto" w:after="0"/>
            </w:pPr>
            <w:r>
              <w:rPr>
                <w:rFonts w:ascii="Times New Roman" w:hAnsi="Times New Roman"/>
                <w:b/>
                <w:color w:val="1E3A8A"/>
                <w:sz w:val="18"/>
              </w:rPr>
              <w:t>Simulated enterprise tasks</w:t>
            </w:r>
          </w:p>
        </w:tc>
      </w:tr>
      <w:tr>
        <w:tc>
          <w:tcPr>
            <w:tcW w:type="dxa" w:w="1728"/>
            <w:shd w:fill="f8fafc"/>
            <w:tcMar>
              <w:top w:w="60" w:type="dxa"/>
              <w:bottom w:w="60" w:type="dxa"/>
              <w:left w:w="60" w:type="dxa"/>
              <w:right w:w="60" w:type="dxa"/>
            </w:tcMar>
          </w:tcPr>
          <w:p>
            <w:pPr>
              <w:spacing w:line="276" w:lineRule="auto" w:after="0"/>
            </w:pPr>
            <w:r>
              <w:rPr>
                <w:rFonts w:ascii="Times New Roman" w:hAnsi="Times New Roman"/>
                <w:b/>
                <w:color w:val="0F172A"/>
                <w:sz w:val="18"/>
              </w:rPr>
              <w:t>Corporate Context</w:t>
            </w:r>
          </w:p>
        </w:tc>
        <w:tc>
          <w:tcPr>
            <w:tcW w:type="dxa" w:w="1440"/>
            <w:shd w:fill="f8fafc"/>
            <w:tcMar>
              <w:top w:w="60" w:type="dxa"/>
              <w:bottom w:w="60" w:type="dxa"/>
              <w:left w:w="60" w:type="dxa"/>
              <w:right w:w="60" w:type="dxa"/>
            </w:tcMar>
          </w:tcPr>
          <w:p>
            <w:pPr>
              <w:spacing w:line="276" w:lineRule="auto" w:after="0"/>
            </w:pPr>
            <w:r>
              <w:rPr>
                <w:rFonts w:ascii="Times New Roman" w:hAnsi="Times New Roman"/>
                <w:sz w:val="18"/>
              </w:rPr>
              <w:t>None / Generic examples</w:t>
            </w:r>
          </w:p>
        </w:tc>
        <w:tc>
          <w:tcPr>
            <w:tcW w:type="dxa" w:w="1440"/>
            <w:shd w:fill="f8fafc"/>
            <w:tcMar>
              <w:top w:w="60" w:type="dxa"/>
              <w:bottom w:w="60" w:type="dxa"/>
              <w:left w:w="60" w:type="dxa"/>
              <w:right w:w="60" w:type="dxa"/>
            </w:tcMar>
          </w:tcPr>
          <w:p>
            <w:pPr>
              <w:spacing w:line="276" w:lineRule="auto" w:after="0"/>
            </w:pPr>
            <w:r>
              <w:rPr>
                <w:rFonts w:ascii="Times New Roman" w:hAnsi="Times New Roman"/>
                <w:sz w:val="18"/>
              </w:rPr>
              <w:t>None (Synthetic math/DSA)</w:t>
            </w:r>
          </w:p>
        </w:tc>
        <w:tc>
          <w:tcPr>
            <w:tcW w:type="dxa" w:w="1440"/>
            <w:shd w:fill="f8fafc"/>
            <w:tcMar>
              <w:top w:w="60" w:type="dxa"/>
              <w:bottom w:w="60" w:type="dxa"/>
              <w:left w:w="60" w:type="dxa"/>
              <w:right w:w="60" w:type="dxa"/>
            </w:tcMar>
          </w:tcPr>
          <w:p>
            <w:pPr>
              <w:spacing w:line="276" w:lineRule="auto" w:after="0"/>
            </w:pPr>
            <w:r>
              <w:rPr>
                <w:rFonts w:ascii="Times New Roman" w:hAnsi="Times New Roman"/>
                <w:sz w:val="18"/>
              </w:rPr>
              <w:t>Generic app domains</w:t>
            </w:r>
          </w:p>
        </w:tc>
        <w:tc>
          <w:tcPr>
            <w:tcW w:type="dxa" w:w="1440"/>
            <w:shd w:fill="f8fafc"/>
            <w:tcMar>
              <w:top w:w="60" w:type="dxa"/>
              <w:bottom w:w="60" w:type="dxa"/>
              <w:left w:w="60" w:type="dxa"/>
              <w:right w:w="60" w:type="dxa"/>
            </w:tcMar>
          </w:tcPr>
          <w:p>
            <w:pPr>
              <w:spacing w:line="276" w:lineRule="auto" w:after="0"/>
            </w:pPr>
            <w:r>
              <w:rPr>
                <w:rFonts w:ascii="Times New Roman" w:hAnsi="Times New Roman"/>
                <w:sz w:val="18"/>
              </w:rPr>
              <w:t>High (Executive videos)</w:t>
            </w:r>
          </w:p>
        </w:tc>
        <w:tc>
          <w:tcPr>
            <w:tcW w:type="dxa" w:w="1541"/>
            <w:shd w:fill="f8fafc"/>
            <w:tcMar>
              <w:top w:w="60" w:type="dxa"/>
              <w:bottom w:w="60" w:type="dxa"/>
              <w:left w:w="60" w:type="dxa"/>
              <w:right w:w="60" w:type="dxa"/>
            </w:tcMar>
          </w:tcPr>
          <w:p>
            <w:pPr>
              <w:spacing w:line="276" w:lineRule="auto" w:after="0"/>
            </w:pPr>
            <w:r>
              <w:rPr>
                <w:rFonts w:ascii="Times New Roman" w:hAnsi="Times New Roman"/>
                <w:b/>
                <w:color w:val="1E3A8A"/>
                <w:sz w:val="18"/>
              </w:rPr>
              <w:t>High (Companies, teams, ADRs)</w:t>
            </w:r>
          </w:p>
        </w:tc>
      </w:tr>
      <w:tr>
        <w:tc>
          <w:tcPr>
            <w:tcW w:type="dxa" w:w="1728"/>
            <w:shd w:fill="ffffff"/>
            <w:tcMar>
              <w:top w:w="60" w:type="dxa"/>
              <w:bottom w:w="60" w:type="dxa"/>
              <w:left w:w="60" w:type="dxa"/>
              <w:right w:w="60" w:type="dxa"/>
            </w:tcMar>
          </w:tcPr>
          <w:p>
            <w:pPr>
              <w:spacing w:line="276" w:lineRule="auto" w:after="0"/>
            </w:pPr>
            <w:r>
              <w:rPr>
                <w:rFonts w:ascii="Times New Roman" w:hAnsi="Times New Roman"/>
                <w:b/>
                <w:color w:val="0F172A"/>
                <w:sz w:val="18"/>
              </w:rPr>
              <w:t>Development Runtime</w:t>
            </w:r>
          </w:p>
        </w:tc>
        <w:tc>
          <w:tcPr>
            <w:tcW w:type="dxa" w:w="1440"/>
            <w:shd w:fill="ffffff"/>
            <w:tcMar>
              <w:top w:w="60" w:type="dxa"/>
              <w:bottom w:w="60" w:type="dxa"/>
              <w:left w:w="60" w:type="dxa"/>
              <w:right w:w="60" w:type="dxa"/>
            </w:tcMar>
          </w:tcPr>
          <w:p>
            <w:pPr>
              <w:spacing w:line="276" w:lineRule="auto" w:after="0"/>
            </w:pPr>
            <w:r>
              <w:rPr>
                <w:rFonts w:ascii="Times New Roman" w:hAnsi="Times New Roman"/>
                <w:sz w:val="18"/>
              </w:rPr>
              <w:t>Local install required</w:t>
            </w:r>
          </w:p>
        </w:tc>
        <w:tc>
          <w:tcPr>
            <w:tcW w:type="dxa" w:w="1440"/>
            <w:shd w:fill="ffffff"/>
            <w:tcMar>
              <w:top w:w="60" w:type="dxa"/>
              <w:bottom w:w="60" w:type="dxa"/>
              <w:left w:w="60" w:type="dxa"/>
              <w:right w:w="60" w:type="dxa"/>
            </w:tcMar>
          </w:tcPr>
          <w:p>
            <w:pPr>
              <w:spacing w:line="276" w:lineRule="auto" w:after="0"/>
            </w:pPr>
            <w:r>
              <w:rPr>
                <w:rFonts w:ascii="Times New Roman" w:hAnsi="Times New Roman"/>
                <w:sz w:val="18"/>
              </w:rPr>
              <w:t>Browser sandbox (single-file)</w:t>
            </w:r>
          </w:p>
        </w:tc>
        <w:tc>
          <w:tcPr>
            <w:tcW w:type="dxa" w:w="1440"/>
            <w:shd w:fill="ffffff"/>
            <w:tcMar>
              <w:top w:w="60" w:type="dxa"/>
              <w:bottom w:w="60" w:type="dxa"/>
              <w:left w:w="60" w:type="dxa"/>
              <w:right w:w="60" w:type="dxa"/>
            </w:tcMar>
          </w:tcPr>
          <w:p>
            <w:pPr>
              <w:spacing w:line="276" w:lineRule="auto" w:after="0"/>
            </w:pPr>
            <w:r>
              <w:rPr>
                <w:rFonts w:ascii="Times New Roman" w:hAnsi="Times New Roman"/>
                <w:sz w:val="18"/>
              </w:rPr>
              <w:t>Local or web terminal</w:t>
            </w:r>
          </w:p>
        </w:tc>
        <w:tc>
          <w:tcPr>
            <w:tcW w:type="dxa" w:w="1440"/>
            <w:shd w:fill="ffffff"/>
            <w:tcMar>
              <w:top w:w="60" w:type="dxa"/>
              <w:bottom w:w="60" w:type="dxa"/>
              <w:left w:w="60" w:type="dxa"/>
              <w:right w:w="60" w:type="dxa"/>
            </w:tcMar>
          </w:tcPr>
          <w:p>
            <w:pPr>
              <w:spacing w:line="276" w:lineRule="auto" w:after="0"/>
            </w:pPr>
            <w:r>
              <w:rPr>
                <w:rFonts w:ascii="Times New Roman" w:hAnsi="Times New Roman"/>
                <w:sz w:val="18"/>
              </w:rPr>
              <w:t>None (Static file upload)</w:t>
            </w:r>
          </w:p>
        </w:tc>
        <w:tc>
          <w:tcPr>
            <w:tcW w:type="dxa" w:w="1541"/>
            <w:shd w:fill="ffffff"/>
            <w:tcMar>
              <w:top w:w="60" w:type="dxa"/>
              <w:bottom w:w="60" w:type="dxa"/>
              <w:left w:w="60" w:type="dxa"/>
              <w:right w:w="60" w:type="dxa"/>
            </w:tcMar>
          </w:tcPr>
          <w:p>
            <w:pPr>
              <w:spacing w:line="276" w:lineRule="auto" w:after="0"/>
            </w:pPr>
            <w:r>
              <w:rPr>
                <w:rFonts w:ascii="Times New Roman" w:hAnsi="Times New Roman"/>
                <w:b/>
                <w:color w:val="1E3A8A"/>
                <w:sz w:val="18"/>
              </w:rPr>
              <w:t>Isolated cloud workspace</w:t>
            </w:r>
          </w:p>
        </w:tc>
      </w:tr>
      <w:tr>
        <w:tc>
          <w:tcPr>
            <w:tcW w:type="dxa" w:w="1728"/>
            <w:shd w:fill="f8fafc"/>
            <w:tcMar>
              <w:top w:w="60" w:type="dxa"/>
              <w:bottom w:w="60" w:type="dxa"/>
              <w:left w:w="60" w:type="dxa"/>
              <w:right w:w="60" w:type="dxa"/>
            </w:tcMar>
          </w:tcPr>
          <w:p>
            <w:pPr>
              <w:spacing w:line="276" w:lineRule="auto" w:after="0"/>
            </w:pPr>
            <w:r>
              <w:rPr>
                <w:rFonts w:ascii="Times New Roman" w:hAnsi="Times New Roman"/>
                <w:b/>
                <w:color w:val="0F172A"/>
                <w:sz w:val="18"/>
              </w:rPr>
              <w:t>Task Flow &amp; DAG</w:t>
            </w:r>
          </w:p>
        </w:tc>
        <w:tc>
          <w:tcPr>
            <w:tcW w:type="dxa" w:w="1440"/>
            <w:shd w:fill="f8fafc"/>
            <w:tcMar>
              <w:top w:w="60" w:type="dxa"/>
              <w:bottom w:w="60" w:type="dxa"/>
              <w:left w:w="60" w:type="dxa"/>
              <w:right w:w="60" w:type="dxa"/>
            </w:tcMar>
          </w:tcPr>
          <w:p>
            <w:pPr>
              <w:spacing w:line="276" w:lineRule="auto" w:after="0"/>
            </w:pPr>
            <w:r>
              <w:rPr>
                <w:rFonts w:ascii="Times New Roman" w:hAnsi="Times New Roman"/>
                <w:sz w:val="18"/>
              </w:rPr>
              <w:t>Linear video chapters</w:t>
            </w:r>
          </w:p>
        </w:tc>
        <w:tc>
          <w:tcPr>
            <w:tcW w:type="dxa" w:w="1440"/>
            <w:shd w:fill="f8fafc"/>
            <w:tcMar>
              <w:top w:w="60" w:type="dxa"/>
              <w:bottom w:w="60" w:type="dxa"/>
              <w:left w:w="60" w:type="dxa"/>
              <w:right w:w="60" w:type="dxa"/>
            </w:tcMar>
          </w:tcPr>
          <w:p>
            <w:pPr>
              <w:spacing w:line="276" w:lineRule="auto" w:after="0"/>
            </w:pPr>
            <w:r>
              <w:rPr>
                <w:rFonts w:ascii="Times New Roman" w:hAnsi="Times New Roman"/>
                <w:sz w:val="18"/>
              </w:rPr>
              <w:t>Independent tagged problems</w:t>
            </w:r>
          </w:p>
        </w:tc>
        <w:tc>
          <w:tcPr>
            <w:tcW w:type="dxa" w:w="1440"/>
            <w:shd w:fill="f8fafc"/>
            <w:tcMar>
              <w:top w:w="60" w:type="dxa"/>
              <w:bottom w:w="60" w:type="dxa"/>
              <w:left w:w="60" w:type="dxa"/>
              <w:right w:w="60" w:type="dxa"/>
            </w:tcMar>
          </w:tcPr>
          <w:p>
            <w:pPr>
              <w:spacing w:line="276" w:lineRule="auto" w:after="0"/>
            </w:pPr>
            <w:r>
              <w:rPr>
                <w:rFonts w:ascii="Times New Roman" w:hAnsi="Times New Roman"/>
                <w:sz w:val="18"/>
              </w:rPr>
              <w:t>Sequential sprints</w:t>
            </w:r>
          </w:p>
        </w:tc>
        <w:tc>
          <w:tcPr>
            <w:tcW w:type="dxa" w:w="1440"/>
            <w:shd w:fill="f8fafc"/>
            <w:tcMar>
              <w:top w:w="60" w:type="dxa"/>
              <w:bottom w:w="60" w:type="dxa"/>
              <w:left w:w="60" w:type="dxa"/>
              <w:right w:w="60" w:type="dxa"/>
            </w:tcMar>
          </w:tcPr>
          <w:p>
            <w:pPr>
              <w:spacing w:line="276" w:lineRule="auto" w:after="0"/>
            </w:pPr>
            <w:r>
              <w:rPr>
                <w:rFonts w:ascii="Times New Roman" w:hAnsi="Times New Roman"/>
                <w:sz w:val="18"/>
              </w:rPr>
              <w:t>Linear task lists</w:t>
            </w:r>
          </w:p>
        </w:tc>
        <w:tc>
          <w:tcPr>
            <w:tcW w:type="dxa" w:w="1541"/>
            <w:shd w:fill="f8fafc"/>
            <w:tcMar>
              <w:top w:w="60" w:type="dxa"/>
              <w:bottom w:w="60" w:type="dxa"/>
              <w:left w:w="60" w:type="dxa"/>
              <w:right w:w="60" w:type="dxa"/>
            </w:tcMar>
          </w:tcPr>
          <w:p>
            <w:pPr>
              <w:spacing w:line="276" w:lineRule="auto" w:after="0"/>
            </w:pPr>
            <w:r>
              <w:rPr>
                <w:rFonts w:ascii="Times New Roman" w:hAnsi="Times New Roman"/>
                <w:b/>
                <w:color w:val="1E3A8A"/>
                <w:sz w:val="18"/>
              </w:rPr>
              <w:t>Directed Acyclic Graph (DAG)</w:t>
            </w:r>
          </w:p>
        </w:tc>
      </w:tr>
      <w:tr>
        <w:tc>
          <w:tcPr>
            <w:tcW w:type="dxa" w:w="1728"/>
            <w:shd w:fill="ffffff"/>
            <w:tcMar>
              <w:top w:w="60" w:type="dxa"/>
              <w:bottom w:w="60" w:type="dxa"/>
              <w:left w:w="60" w:type="dxa"/>
              <w:right w:w="60" w:type="dxa"/>
            </w:tcMar>
          </w:tcPr>
          <w:p>
            <w:pPr>
              <w:spacing w:line="276" w:lineRule="auto" w:after="0"/>
            </w:pPr>
            <w:r>
              <w:rPr>
                <w:rFonts w:ascii="Times New Roman" w:hAnsi="Times New Roman"/>
                <w:b/>
                <w:color w:val="0F172A"/>
                <w:sz w:val="18"/>
              </w:rPr>
              <w:t>Evaluation Engine</w:t>
            </w:r>
          </w:p>
        </w:tc>
        <w:tc>
          <w:tcPr>
            <w:tcW w:type="dxa" w:w="1440"/>
            <w:shd w:fill="ffffff"/>
            <w:tcMar>
              <w:top w:w="60" w:type="dxa"/>
              <w:bottom w:w="60" w:type="dxa"/>
              <w:left w:w="60" w:type="dxa"/>
              <w:right w:w="60" w:type="dxa"/>
            </w:tcMar>
          </w:tcPr>
          <w:p>
            <w:pPr>
              <w:spacing w:line="276" w:lineRule="auto" w:after="0"/>
            </w:pPr>
            <w:r>
              <w:rPr>
                <w:rFonts w:ascii="Times New Roman" w:hAnsi="Times New Roman"/>
                <w:sz w:val="18"/>
              </w:rPr>
              <w:t>Multiple choice / Peer review</w:t>
            </w:r>
          </w:p>
        </w:tc>
        <w:tc>
          <w:tcPr>
            <w:tcW w:type="dxa" w:w="1440"/>
            <w:shd w:fill="ffffff"/>
            <w:tcMar>
              <w:top w:w="60" w:type="dxa"/>
              <w:bottom w:w="60" w:type="dxa"/>
              <w:left w:w="60" w:type="dxa"/>
              <w:right w:w="60" w:type="dxa"/>
            </w:tcMar>
          </w:tcPr>
          <w:p>
            <w:pPr>
              <w:spacing w:line="276" w:lineRule="auto" w:after="0"/>
            </w:pPr>
            <w:r>
              <w:rPr>
                <w:rFonts w:ascii="Times New Roman" w:hAnsi="Times New Roman"/>
                <w:sz w:val="18"/>
              </w:rPr>
              <w:t>Automated I/O unit tests</w:t>
            </w:r>
          </w:p>
        </w:tc>
        <w:tc>
          <w:tcPr>
            <w:tcW w:type="dxa" w:w="1440"/>
            <w:shd w:fill="ffffff"/>
            <w:tcMar>
              <w:top w:w="60" w:type="dxa"/>
              <w:bottom w:w="60" w:type="dxa"/>
              <w:left w:w="60" w:type="dxa"/>
              <w:right w:w="60" w:type="dxa"/>
            </w:tcMar>
          </w:tcPr>
          <w:p>
            <w:pPr>
              <w:spacing w:line="276" w:lineRule="auto" w:after="0"/>
            </w:pPr>
            <w:r>
              <w:rPr>
                <w:rFonts w:ascii="Times New Roman" w:hAnsi="Times New Roman"/>
                <w:sz w:val="18"/>
              </w:rPr>
              <w:t>Automated test scripts</w:t>
            </w:r>
          </w:p>
        </w:tc>
        <w:tc>
          <w:tcPr>
            <w:tcW w:type="dxa" w:w="1440"/>
            <w:shd w:fill="ffffff"/>
            <w:tcMar>
              <w:top w:w="60" w:type="dxa"/>
              <w:bottom w:w="60" w:type="dxa"/>
              <w:left w:w="60" w:type="dxa"/>
              <w:right w:w="60" w:type="dxa"/>
            </w:tcMar>
          </w:tcPr>
          <w:p>
            <w:pPr>
              <w:spacing w:line="276" w:lineRule="auto" w:after="0"/>
            </w:pPr>
            <w:r>
              <w:rPr>
                <w:rFonts w:ascii="Times New Roman" w:hAnsi="Times New Roman"/>
                <w:sz w:val="18"/>
              </w:rPr>
              <w:t>Self-comparison model answer</w:t>
            </w:r>
          </w:p>
        </w:tc>
        <w:tc>
          <w:tcPr>
            <w:tcW w:type="dxa" w:w="1541"/>
            <w:shd w:fill="ffffff"/>
            <w:tcMar>
              <w:top w:w="60" w:type="dxa"/>
              <w:bottom w:w="60" w:type="dxa"/>
              <w:left w:w="60" w:type="dxa"/>
              <w:right w:w="60" w:type="dxa"/>
            </w:tcMar>
          </w:tcPr>
          <w:p>
            <w:pPr>
              <w:spacing w:line="276" w:lineRule="auto" w:after="0"/>
            </w:pPr>
            <w:r>
              <w:rPr>
                <w:rFonts w:ascii="Times New Roman" w:hAnsi="Times New Roman"/>
                <w:b/>
                <w:color w:val="1E3A8A"/>
                <w:sz w:val="18"/>
              </w:rPr>
              <w:t>Multi-tier tests + AI PR review</w:t>
            </w:r>
          </w:p>
        </w:tc>
      </w:tr>
      <w:tr>
        <w:tc>
          <w:tcPr>
            <w:tcW w:type="dxa" w:w="1728"/>
            <w:shd w:fill="f8fafc"/>
            <w:tcMar>
              <w:top w:w="60" w:type="dxa"/>
              <w:bottom w:w="60" w:type="dxa"/>
              <w:left w:w="60" w:type="dxa"/>
              <w:right w:w="60" w:type="dxa"/>
            </w:tcMar>
          </w:tcPr>
          <w:p>
            <w:pPr>
              <w:spacing w:line="276" w:lineRule="auto" w:after="0"/>
            </w:pPr>
            <w:r>
              <w:rPr>
                <w:rFonts w:ascii="Times New Roman" w:hAnsi="Times New Roman"/>
                <w:b/>
                <w:color w:val="0F172A"/>
                <w:sz w:val="18"/>
              </w:rPr>
              <w:t>Skill Evidence</w:t>
            </w:r>
          </w:p>
        </w:tc>
        <w:tc>
          <w:tcPr>
            <w:tcW w:type="dxa" w:w="1440"/>
            <w:shd w:fill="f8fafc"/>
            <w:tcMar>
              <w:top w:w="60" w:type="dxa"/>
              <w:bottom w:w="60" w:type="dxa"/>
              <w:left w:w="60" w:type="dxa"/>
              <w:right w:w="60" w:type="dxa"/>
            </w:tcMar>
          </w:tcPr>
          <w:p>
            <w:pPr>
              <w:spacing w:line="276" w:lineRule="auto" w:after="0"/>
            </w:pPr>
            <w:r>
              <w:rPr>
                <w:rFonts w:ascii="Times New Roman" w:hAnsi="Times New Roman"/>
                <w:sz w:val="18"/>
              </w:rPr>
              <w:t>Unverified PDF certificate</w:t>
            </w:r>
          </w:p>
        </w:tc>
        <w:tc>
          <w:tcPr>
            <w:tcW w:type="dxa" w:w="1440"/>
            <w:shd w:fill="f8fafc"/>
            <w:tcMar>
              <w:top w:w="60" w:type="dxa"/>
              <w:bottom w:w="60" w:type="dxa"/>
              <w:left w:w="60" w:type="dxa"/>
              <w:right w:w="60" w:type="dxa"/>
            </w:tcMar>
          </w:tcPr>
          <w:p>
            <w:pPr>
              <w:spacing w:line="276" w:lineRule="auto" w:after="0"/>
            </w:pPr>
            <w:r>
              <w:rPr>
                <w:rFonts w:ascii="Times New Roman" w:hAnsi="Times New Roman"/>
                <w:sz w:val="18"/>
              </w:rPr>
              <w:t>Contest rating score</w:t>
            </w:r>
          </w:p>
        </w:tc>
        <w:tc>
          <w:tcPr>
            <w:tcW w:type="dxa" w:w="1440"/>
            <w:shd w:fill="f8fafc"/>
            <w:tcMar>
              <w:top w:w="60" w:type="dxa"/>
              <w:bottom w:w="60" w:type="dxa"/>
              <w:left w:w="60" w:type="dxa"/>
              <w:right w:w="60" w:type="dxa"/>
            </w:tcMar>
          </w:tcPr>
          <w:p>
            <w:pPr>
              <w:spacing w:line="276" w:lineRule="auto" w:after="0"/>
            </w:pPr>
            <w:r>
              <w:rPr>
                <w:rFonts w:ascii="Times New Roman" w:hAnsi="Times New Roman"/>
                <w:sz w:val="18"/>
              </w:rPr>
              <w:t>Portfolio summary</w:t>
            </w:r>
          </w:p>
        </w:tc>
        <w:tc>
          <w:tcPr>
            <w:tcW w:type="dxa" w:w="1440"/>
            <w:shd w:fill="f8fafc"/>
            <w:tcMar>
              <w:top w:w="60" w:type="dxa"/>
              <w:bottom w:w="60" w:type="dxa"/>
              <w:left w:w="60" w:type="dxa"/>
              <w:right w:w="60" w:type="dxa"/>
            </w:tcMar>
          </w:tcPr>
          <w:p>
            <w:pPr>
              <w:spacing w:line="276" w:lineRule="auto" w:after="0"/>
            </w:pPr>
            <w:r>
              <w:rPr>
                <w:rFonts w:ascii="Times New Roman" w:hAnsi="Times New Roman"/>
                <w:sz w:val="18"/>
              </w:rPr>
              <w:t>Completion certificate</w:t>
            </w:r>
          </w:p>
        </w:tc>
        <w:tc>
          <w:tcPr>
            <w:tcW w:type="dxa" w:w="1541"/>
            <w:shd w:fill="f8fafc"/>
            <w:tcMar>
              <w:top w:w="60" w:type="dxa"/>
              <w:bottom w:w="60" w:type="dxa"/>
              <w:left w:w="60" w:type="dxa"/>
              <w:right w:w="60" w:type="dxa"/>
            </w:tcMar>
          </w:tcPr>
          <w:p>
            <w:pPr>
              <w:spacing w:line="276" w:lineRule="auto" w:after="0"/>
            </w:pPr>
            <w:r>
              <w:rPr>
                <w:rFonts w:ascii="Times New Roman" w:hAnsi="Times New Roman"/>
                <w:b/>
                <w:color w:val="1E3A8A"/>
                <w:sz w:val="18"/>
              </w:rPr>
              <w:t>Verified Git Commit Dossier</w:t>
            </w:r>
          </w:p>
        </w:tc>
      </w:tr>
    </w:tbl>
    <w:p>
      <w:pPr>
        <w:spacing w:after="160"/>
      </w:pPr>
    </w:p>
    <w:p>
      <w:pPr>
        <w:keepNext/>
        <w:spacing w:before="280" w:after="100"/>
      </w:pPr>
      <w:r>
        <w:rPr>
          <w:rFonts w:ascii="Times New Roman" w:hAnsi="Times New Roman"/>
          <w:b/>
          <w:color w:val="1E3A8A"/>
          <w:sz w:val="28"/>
        </w:rPr>
        <w:t>2.5 Identified Research and Architectural Gaps</w:t>
      </w:r>
    </w:p>
    <w:p>
      <w:pPr>
        <w:spacing w:line="360" w:lineRule="auto" w:after="120"/>
        <w:jc w:val="both"/>
      </w:pPr>
      <w:r>
        <w:rPr>
          <w:rFonts w:ascii="Times New Roman" w:hAnsi="Times New Roman"/>
          <w:sz w:val="24"/>
        </w:rPr>
        <w:t>Synthesizing the academic literature and industrial landscape reveals three major unaddressed research and architectural gaps:</w:t>
      </w:r>
    </w:p>
    <w:p>
      <w:pPr>
        <w:pStyle w:val="ListBullet"/>
        <w:spacing w:line="312" w:lineRule="auto" w:after="80"/>
        <w:jc w:val="both"/>
      </w:pPr>
      <w:r>
        <w:rPr>
          <w:rFonts w:ascii="Times New Roman" w:hAnsi="Times New Roman"/>
          <w:b/>
          <w:sz w:val="24"/>
        </w:rPr>
        <w:t xml:space="preserve">Gap 1: The Workflow Synthesis Gap. </w:t>
      </w:r>
      <w:r>
        <w:rPr>
          <w:rFonts w:ascii="Times New Roman" w:hAnsi="Times New Roman"/>
          <w:sz w:val="24"/>
        </w:rPr>
        <w:t>Existing platforms isolate technical education into fragmented silos: LeetCode isolates algorithmic syntax, Coursera isolates conceptual knowledge, Crio.Do isolates project implementation, and Codespaces isolates raw cloud infrastructure. No existing platform synthesizes the entire connected lifecycle: reading an ADR → investigating legacy code → opening an isolated cloud workspace → writing code against acceptance criteria → executing local test suites → submitting a Git pull request → undergoing an AI Tech Lead code review → deploying to staging → responding to production telemetry alerts.</w:t>
      </w:r>
    </w:p>
    <w:p>
      <w:pPr>
        <w:pStyle w:val="ListBullet"/>
        <w:spacing w:line="312" w:lineRule="auto" w:after="80"/>
        <w:jc w:val="both"/>
      </w:pPr>
      <w:r>
        <w:rPr>
          <w:rFonts w:ascii="Times New Roman" w:hAnsi="Times New Roman"/>
          <w:b/>
          <w:sz w:val="24"/>
        </w:rPr>
        <w:t xml:space="preserve">Gap 2: The Authentic Assessment Gap. </w:t>
      </w:r>
      <w:r>
        <w:rPr>
          <w:rFonts w:ascii="Times New Roman" w:hAnsi="Times New Roman"/>
          <w:sz w:val="24"/>
        </w:rPr>
        <w:t>Current automated evaluation is predominantly binary (pass/fail assertions on function outputs). In enterprise engineering, however, software quality encompasses code maintainability, security standards, adherence to architectural constraints, and clear PR documentation. There is an absence of automated educational systems that evaluate full pull requests through multi-dimensional rubrics with line-by-line feedback.</w:t>
      </w:r>
    </w:p>
    <w:p>
      <w:pPr>
        <w:pStyle w:val="ListBullet"/>
        <w:spacing w:line="312" w:lineRule="auto" w:after="80"/>
        <w:jc w:val="both"/>
      </w:pPr>
      <w:r>
        <w:rPr>
          <w:rFonts w:ascii="Times New Roman" w:hAnsi="Times New Roman"/>
          <w:b/>
          <w:sz w:val="24"/>
        </w:rPr>
        <w:t xml:space="preserve">Gap 3: The Verifiable Competence Gap. </w:t>
      </w:r>
      <w:r>
        <w:rPr>
          <w:rFonts w:ascii="Times New Roman" w:hAnsi="Times New Roman"/>
          <w:sz w:val="24"/>
        </w:rPr>
        <w:t>Traditional educational credentials (such as course completion certificates) fail to provide recruiters with verifiable evidence of practical ability. There is an acute need for a platform that generates tamper-evident, commit-backed dossiers linking verified competencies directly to real Git commit SHAs, test logs, and reviewer rubric scores.</w:t>
      </w:r>
    </w:p>
    <w:p>
      <w:pPr>
        <w:keepNext/>
        <w:spacing w:before="280" w:after="100"/>
      </w:pPr>
      <w:r>
        <w:rPr>
          <w:rFonts w:ascii="Times New Roman" w:hAnsi="Times New Roman"/>
          <w:b/>
          <w:color w:val="1E3A8A"/>
          <w:sz w:val="28"/>
        </w:rPr>
        <w:t>2.6 Justification and Formulation of the Proposed System</w:t>
      </w:r>
    </w:p>
    <w:p>
      <w:pPr>
        <w:spacing w:line="360" w:lineRule="auto" w:after="120"/>
        <w:jc w:val="both"/>
      </w:pPr>
      <w:r>
        <w:rPr>
          <w:rFonts w:ascii="Times New Roman" w:hAnsi="Times New Roman"/>
          <w:sz w:val="24"/>
        </w:rPr>
        <w:t>The formulation of WORKUP is directly justified as a comprehensive solution to these identified gaps. By engineering an integrated system that combines a 21-entity relational domain model, a Directed Acyclic Graph (DAG) task engine, containerized cloud workspace orchestration, multi-tier automated test harnesses, AI-assisted PR reviews, and cryptographically verifiable portfolios, WORKUP creates a controlled, realistic environment where students can experience, practice, fail at, fix, and demonstrate professional engineering work before entering the software industry.</w:t>
      </w:r>
    </w:p>
    <w:p>
      <w:r>
        <w:br w:type="page"/>
      </w:r>
    </w:p>
    <w:p>
      <w:pPr>
        <w:keepNext/>
        <w:spacing w:before="320" w:after="280"/>
        <w:jc w:val="center"/>
      </w:pPr>
      <w:r>
        <w:rPr>
          <w:rFonts w:ascii="Times New Roman" w:hAnsi="Times New Roman"/>
          <w:b/>
          <w:color w:val="1E3A8A"/>
          <w:sz w:val="32"/>
        </w:rPr>
        <w:t>CHAPTER 3</w:t>
        <w:br/>
        <w:t>REQUIREMENTS AND METHODOLOGY</w:t>
      </w:r>
    </w:p>
    <w:p>
      <w:pPr>
        <w:keepNext/>
        <w:spacing w:before="280" w:after="100"/>
      </w:pPr>
      <w:r>
        <w:rPr>
          <w:rFonts w:ascii="Times New Roman" w:hAnsi="Times New Roman"/>
          <w:b/>
          <w:color w:val="1E3A8A"/>
          <w:sz w:val="28"/>
        </w:rPr>
        <w:t>3.1 System Overview</w:t>
      </w:r>
    </w:p>
    <w:p>
      <w:pPr>
        <w:spacing w:line="360" w:lineRule="auto" w:after="120"/>
        <w:jc w:val="both"/>
      </w:pPr>
      <w:r>
        <w:rPr>
          <w:rFonts w:ascii="Times New Roman" w:hAnsi="Times New Roman"/>
          <w:sz w:val="24"/>
        </w:rPr>
        <w:t>WORKUP is architectured as a multi-tier, full-stack web application designed to support high-fidelity enterprise software engineering simulations. The platform is decoupled into three primary subsystems: (1) the Presentation and Catalog Engine, which delivers responsive, role-based user interfaces; (2) the Core Business and DAG Orchestration Engine, which manages task dependencies, multi-tier evaluations, and audit events; and (3) the Workspace Execution Subsystem, which allocates isolated development sandboxes and manages process lifecycles.</w:t>
      </w:r>
    </w:p>
    <w:p>
      <w:pPr>
        <w:keepNext/>
        <w:spacing w:before="280" w:after="100"/>
      </w:pPr>
      <w:r>
        <w:rPr>
          <w:rFonts w:ascii="Times New Roman" w:hAnsi="Times New Roman"/>
          <w:b/>
          <w:color w:val="1E3A8A"/>
          <w:sz w:val="28"/>
        </w:rPr>
        <w:t>3.2 Target Users and Role Personas</w:t>
      </w:r>
    </w:p>
    <w:p>
      <w:pPr>
        <w:spacing w:line="360" w:lineRule="auto" w:after="120"/>
        <w:jc w:val="both"/>
      </w:pPr>
      <w:r>
        <w:rPr>
          <w:rFonts w:ascii="Times New Roman" w:hAnsi="Times New Roman"/>
          <w:sz w:val="24"/>
        </w:rPr>
        <w:t>To reflect authentic enterprise governance, the platform models four distinct user roles, each governed by strict Role-Based Access Control (RBAC) policies:</w:t>
      </w:r>
    </w:p>
    <w:p>
      <w:pPr>
        <w:pStyle w:val="ListBullet"/>
        <w:spacing w:line="312" w:lineRule="auto" w:after="80"/>
        <w:jc w:val="both"/>
      </w:pPr>
      <w:r>
        <w:rPr>
          <w:rFonts w:ascii="Times New Roman" w:hAnsi="Times New Roman"/>
          <w:b/>
          <w:sz w:val="24"/>
        </w:rPr>
        <w:t xml:space="preserve">1. Student / Learner Persona: </w:t>
      </w:r>
      <w:r>
        <w:rPr>
          <w:rFonts w:ascii="Times New Roman" w:hAnsi="Times New Roman"/>
          <w:sz w:val="24"/>
        </w:rPr>
        <w:t>Undergraduate engineering students, boot-camp attendees, or transitioning professionals seeking verifiable practical experience. Permissions: browse career families, launch enterprise simulations, provision cloud workspaces, execute in-sandbox tests, submit pull requests, inspect feedback, and export verifiable Evidence-of-Skill dossiers.</w:t>
      </w:r>
    </w:p>
    <w:p>
      <w:pPr>
        <w:pStyle w:val="ListBullet"/>
        <w:spacing w:line="312" w:lineRule="auto" w:after="80"/>
        <w:jc w:val="both"/>
      </w:pPr>
      <w:r>
        <w:rPr>
          <w:rFonts w:ascii="Times New Roman" w:hAnsi="Times New Roman"/>
          <w:b/>
          <w:sz w:val="24"/>
        </w:rPr>
        <w:t xml:space="preserve">2. Content Author Persona: </w:t>
      </w:r>
      <w:r>
        <w:rPr>
          <w:rFonts w:ascii="Times New Roman" w:hAnsi="Times New Roman"/>
          <w:sz w:val="24"/>
        </w:rPr>
        <w:t>Senior software engineers, educators, and curriculum architects responsible for designing simulation tracks. Permissions: author career families, professions, roles, and skills; construct simulated company scenarios and team charters; author task tickets, Acceptance Criteria, and Architectural Decision Records (ADRs); and configure automated test harnesses.</w:t>
      </w:r>
    </w:p>
    <w:p>
      <w:pPr>
        <w:pStyle w:val="ListBullet"/>
        <w:spacing w:line="312" w:lineRule="auto" w:after="80"/>
        <w:jc w:val="both"/>
      </w:pPr>
      <w:r>
        <w:rPr>
          <w:rFonts w:ascii="Times New Roman" w:hAnsi="Times New Roman"/>
          <w:b/>
          <w:sz w:val="24"/>
        </w:rPr>
        <w:t xml:space="preserve">3. Technical Reviewer Persona: </w:t>
      </w:r>
      <w:r>
        <w:rPr>
          <w:rFonts w:ascii="Times New Roman" w:hAnsi="Times New Roman"/>
          <w:sz w:val="24"/>
        </w:rPr>
        <w:t>Industry mentors, teaching assistants, or automated AI Tech Lead agents responsible for evaluating student pull requests. Permissions: inspect student code diffs, evaluate submissions against structured multi-dimensional rubrics, provide line-by-line code review comments, and approve or request changes on pull requests.</w:t>
      </w:r>
    </w:p>
    <w:p>
      <w:pPr>
        <w:pStyle w:val="ListBullet"/>
        <w:spacing w:line="312" w:lineRule="auto" w:after="80"/>
        <w:jc w:val="both"/>
      </w:pPr>
      <w:r>
        <w:rPr>
          <w:rFonts w:ascii="Times New Roman" w:hAnsi="Times New Roman"/>
          <w:b/>
          <w:sz w:val="24"/>
        </w:rPr>
        <w:t xml:space="preserve">4. System Administrator Persona: </w:t>
      </w:r>
      <w:r>
        <w:rPr>
          <w:rFonts w:ascii="Times New Roman" w:hAnsi="Times New Roman"/>
          <w:sz w:val="24"/>
        </w:rPr>
        <w:t>Institutional administrators and DevOps platform leads responsible for platform stability and governance. Permissions: inspect system-wide audit logs, monitor active workspace resource utilization, configure global concurrency limits and timeout thresholds, and manage user account statuses.</w:t>
      </w:r>
    </w:p>
    <w:p>
      <w:pPr>
        <w:keepNext/>
        <w:spacing w:before="280" w:after="100"/>
      </w:pPr>
      <w:r>
        <w:rPr>
          <w:rFonts w:ascii="Times New Roman" w:hAnsi="Times New Roman"/>
          <w:b/>
          <w:color w:val="1E3A8A"/>
          <w:sz w:val="28"/>
        </w:rPr>
        <w:t>3.3 Functional Requirements Specification</w:t>
      </w:r>
    </w:p>
    <w:p>
      <w:pPr>
        <w:spacing w:line="360" w:lineRule="auto" w:after="120"/>
        <w:jc w:val="both"/>
      </w:pPr>
      <w:r>
        <w:rPr>
          <w:rFonts w:ascii="Times New Roman" w:hAnsi="Times New Roman"/>
          <w:sz w:val="24"/>
        </w:rPr>
        <w:t>The functional requirements specify the exact behavioral capabilities implemented and planned for the WORKUP platform. Table 3.1 details the twelve core functional requirements (FR-01 through FR-12):</w:t>
      </w:r>
    </w:p>
    <w:p>
      <w:pPr>
        <w:spacing w:before="160" w:after="40"/>
        <w:jc w:val="center"/>
      </w:pPr>
      <w:r>
        <w:rPr>
          <w:rFonts w:ascii="Times New Roman" w:hAnsi="Times New Roman"/>
          <w:b/>
          <w:i/>
          <w:color w:val="1E3A8A"/>
          <w:sz w:val="20"/>
        </w:rPr>
        <w:t>Table 3.1: Detailed Functional Requirements Specification Matrix (FR-01 to FR-12).</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1440"/>
            <w:shd w:fill="1e3a8a"/>
            <w:tcMar>
              <w:top w:w="70" w:type="dxa"/>
              <w:bottom w:w="70" w:type="dxa"/>
              <w:left w:w="70" w:type="dxa"/>
              <w:right w:w="70" w:type="dxa"/>
            </w:tcMar>
          </w:tcPr>
          <w:p>
            <w:pPr>
              <w:spacing w:after="0"/>
              <w:jc w:val="center"/>
            </w:pPr>
            <w:r>
              <w:rPr>
                <w:rFonts w:ascii="Times New Roman" w:hAnsi="Times New Roman"/>
                <w:b/>
                <w:color w:val="FFFFFF"/>
                <w:sz w:val="19"/>
              </w:rPr>
              <w:t>Req ID</w:t>
            </w:r>
          </w:p>
        </w:tc>
        <w:tc>
          <w:tcPr>
            <w:tcW w:type="dxa" w:w="3024"/>
            <w:shd w:fill="1e3a8a"/>
            <w:tcMar>
              <w:top w:w="70" w:type="dxa"/>
              <w:bottom w:w="70" w:type="dxa"/>
              <w:left w:w="70" w:type="dxa"/>
              <w:right w:w="70" w:type="dxa"/>
            </w:tcMar>
          </w:tcPr>
          <w:p>
            <w:pPr>
              <w:spacing w:after="0"/>
              <w:jc w:val="center"/>
            </w:pPr>
            <w:r>
              <w:rPr>
                <w:rFonts w:ascii="Times New Roman" w:hAnsi="Times New Roman"/>
                <w:b/>
                <w:color w:val="FFFFFF"/>
                <w:sz w:val="19"/>
              </w:rPr>
              <w:t>Requirement Name</w:t>
            </w:r>
          </w:p>
        </w:tc>
        <w:tc>
          <w:tcPr>
            <w:tcW w:type="dxa" w:w="4565"/>
            <w:shd w:fill="1e3a8a"/>
            <w:tcMar>
              <w:top w:w="70" w:type="dxa"/>
              <w:bottom w:w="70" w:type="dxa"/>
              <w:left w:w="70" w:type="dxa"/>
              <w:right w:w="70" w:type="dxa"/>
            </w:tcMar>
          </w:tcPr>
          <w:p>
            <w:pPr>
              <w:spacing w:after="0"/>
              <w:jc w:val="center"/>
            </w:pPr>
            <w:r>
              <w:rPr>
                <w:rFonts w:ascii="Times New Roman" w:hAnsi="Times New Roman"/>
                <w:b/>
                <w:color w:val="FFFFFF"/>
                <w:sz w:val="19"/>
              </w:rPr>
              <w:t>Technical Specification &amp; Code Verification</w:t>
            </w:r>
          </w:p>
        </w:tc>
      </w:tr>
      <w:tr>
        <w:tc>
          <w:tcPr>
            <w:tcW w:type="dxa" w:w="1440"/>
            <w:shd w:fill="ffffff"/>
            <w:tcMar>
              <w:top w:w="50" w:type="dxa"/>
              <w:bottom w:w="50" w:type="dxa"/>
              <w:left w:w="60" w:type="dxa"/>
              <w:right w:w="60" w:type="dxa"/>
            </w:tcMar>
          </w:tcPr>
          <w:p>
            <w:pPr>
              <w:spacing w:line="276" w:lineRule="auto" w:after="0"/>
            </w:pPr>
            <w:r>
              <w:rPr>
                <w:rFonts w:ascii="Times New Roman" w:hAnsi="Times New Roman"/>
                <w:b/>
                <w:color w:val="1E3A8A"/>
                <w:sz w:val="18"/>
              </w:rPr>
              <w:t>FR-01</w:t>
            </w:r>
          </w:p>
        </w:tc>
        <w:tc>
          <w:tcPr>
            <w:tcW w:type="dxa" w:w="3024"/>
            <w:shd w:fill="ffffff"/>
            <w:tcMar>
              <w:top w:w="50" w:type="dxa"/>
              <w:bottom w:w="50" w:type="dxa"/>
              <w:left w:w="60" w:type="dxa"/>
              <w:right w:w="60" w:type="dxa"/>
            </w:tcMar>
          </w:tcPr>
          <w:p>
            <w:pPr>
              <w:spacing w:line="276" w:lineRule="auto" w:after="0"/>
            </w:pPr>
            <w:r>
              <w:rPr>
                <w:rFonts w:ascii="Times New Roman" w:hAnsi="Times New Roman"/>
                <w:b/>
                <w:color w:val="0F172A"/>
                <w:sz w:val="18"/>
              </w:rPr>
              <w:t>User Authentication &amp; Session Management</w:t>
            </w:r>
          </w:p>
        </w:tc>
        <w:tc>
          <w:tcPr>
            <w:tcW w:type="dxa" w:w="4565"/>
            <w:shd w:fill="ffffff"/>
            <w:tcMar>
              <w:top w:w="50" w:type="dxa"/>
              <w:bottom w:w="50" w:type="dxa"/>
              <w:left w:w="60" w:type="dxa"/>
              <w:right w:w="60" w:type="dxa"/>
            </w:tcMar>
          </w:tcPr>
          <w:p>
            <w:pPr>
              <w:spacing w:line="276" w:lineRule="auto" w:after="0"/>
            </w:pPr>
            <w:r>
              <w:rPr>
                <w:rFonts w:ascii="Times New Roman" w:hAnsi="Times New Roman"/>
                <w:sz w:val="18"/>
              </w:rPr>
              <w:t>The system shall authenticate users via bcryptjs password hashing and generate signed stateless JWT tokens stored in HTTP-only, secure, SameSite cookies. Verified in src/lib/auth.ts.</w:t>
            </w:r>
          </w:p>
        </w:tc>
      </w:tr>
      <w:tr>
        <w:tc>
          <w:tcPr>
            <w:tcW w:type="dxa" w:w="1440"/>
            <w:shd w:fill="f8fafc"/>
            <w:tcMar>
              <w:top w:w="50" w:type="dxa"/>
              <w:bottom w:w="50" w:type="dxa"/>
              <w:left w:w="60" w:type="dxa"/>
              <w:right w:w="60" w:type="dxa"/>
            </w:tcMar>
          </w:tcPr>
          <w:p>
            <w:pPr>
              <w:spacing w:line="276" w:lineRule="auto" w:after="0"/>
            </w:pPr>
            <w:r>
              <w:rPr>
                <w:rFonts w:ascii="Times New Roman" w:hAnsi="Times New Roman"/>
                <w:b/>
                <w:color w:val="1E3A8A"/>
                <w:sz w:val="18"/>
              </w:rPr>
              <w:t>FR-02</w:t>
            </w:r>
          </w:p>
        </w:tc>
        <w:tc>
          <w:tcPr>
            <w:tcW w:type="dxa" w:w="3024"/>
            <w:shd w:fill="f8fafc"/>
            <w:tcMar>
              <w:top w:w="50" w:type="dxa"/>
              <w:bottom w:w="50" w:type="dxa"/>
              <w:left w:w="60" w:type="dxa"/>
              <w:right w:w="60" w:type="dxa"/>
            </w:tcMar>
          </w:tcPr>
          <w:p>
            <w:pPr>
              <w:spacing w:line="276" w:lineRule="auto" w:after="0"/>
            </w:pPr>
            <w:r>
              <w:rPr>
                <w:rFonts w:ascii="Times New Roman" w:hAnsi="Times New Roman"/>
                <w:b/>
                <w:color w:val="0F172A"/>
                <w:sz w:val="18"/>
              </w:rPr>
              <w:t>Role-Based Access Control (RBAC)</w:t>
            </w:r>
          </w:p>
        </w:tc>
        <w:tc>
          <w:tcPr>
            <w:tcW w:type="dxa" w:w="4565"/>
            <w:shd w:fill="f8fafc"/>
            <w:tcMar>
              <w:top w:w="50" w:type="dxa"/>
              <w:bottom w:w="50" w:type="dxa"/>
              <w:left w:w="60" w:type="dxa"/>
              <w:right w:w="60" w:type="dxa"/>
            </w:tcMar>
          </w:tcPr>
          <w:p>
            <w:pPr>
              <w:spacing w:line="276" w:lineRule="auto" w:after="0"/>
            </w:pPr>
            <w:r>
              <w:rPr>
                <w:rFonts w:ascii="Times New Roman" w:hAnsi="Times New Roman"/>
                <w:sz w:val="18"/>
              </w:rPr>
              <w:t>The system shall enforce a strict 4-tier RBAC matrix (student, content_author, reviewer, administrator) preventing unauthorized horizontal and vertical privilege escalation. Verified in src/lib/rbac.ts.</w:t>
            </w:r>
          </w:p>
        </w:tc>
      </w:tr>
      <w:tr>
        <w:tc>
          <w:tcPr>
            <w:tcW w:type="dxa" w:w="1440"/>
            <w:shd w:fill="ffffff"/>
            <w:tcMar>
              <w:top w:w="50" w:type="dxa"/>
              <w:bottom w:w="50" w:type="dxa"/>
              <w:left w:w="60" w:type="dxa"/>
              <w:right w:w="60" w:type="dxa"/>
            </w:tcMar>
          </w:tcPr>
          <w:p>
            <w:pPr>
              <w:spacing w:line="276" w:lineRule="auto" w:after="0"/>
            </w:pPr>
            <w:r>
              <w:rPr>
                <w:rFonts w:ascii="Times New Roman" w:hAnsi="Times New Roman"/>
                <w:b/>
                <w:color w:val="1E3A8A"/>
                <w:sz w:val="18"/>
              </w:rPr>
              <w:t>FR-03</w:t>
            </w:r>
          </w:p>
        </w:tc>
        <w:tc>
          <w:tcPr>
            <w:tcW w:type="dxa" w:w="3024"/>
            <w:shd w:fill="ffffff"/>
            <w:tcMar>
              <w:top w:w="50" w:type="dxa"/>
              <w:bottom w:w="50" w:type="dxa"/>
              <w:left w:w="60" w:type="dxa"/>
              <w:right w:w="60" w:type="dxa"/>
            </w:tcMar>
          </w:tcPr>
          <w:p>
            <w:pPr>
              <w:spacing w:line="276" w:lineRule="auto" w:after="0"/>
            </w:pPr>
            <w:r>
              <w:rPr>
                <w:rFonts w:ascii="Times New Roman" w:hAnsi="Times New Roman"/>
                <w:b/>
                <w:color w:val="0F172A"/>
                <w:sz w:val="18"/>
              </w:rPr>
              <w:t>Career &amp; Role Exploration</w:t>
            </w:r>
          </w:p>
        </w:tc>
        <w:tc>
          <w:tcPr>
            <w:tcW w:type="dxa" w:w="4565"/>
            <w:shd w:fill="ffffff"/>
            <w:tcMar>
              <w:top w:w="50" w:type="dxa"/>
              <w:bottom w:w="50" w:type="dxa"/>
              <w:left w:w="60" w:type="dxa"/>
              <w:right w:w="60" w:type="dxa"/>
            </w:tcMar>
          </w:tcPr>
          <w:p>
            <w:pPr>
              <w:spacing w:line="276" w:lineRule="auto" w:after="0"/>
            </w:pPr>
            <w:r>
              <w:rPr>
                <w:rFonts w:ascii="Times New Roman" w:hAnsi="Times New Roman"/>
                <w:sz w:val="18"/>
              </w:rPr>
              <w:t>The system shall provide a public/student catalog displaying career families, engineering professions, specialized job titles, and mapped technical skills. Verified in src/app/careers/page.tsx.</w:t>
            </w:r>
          </w:p>
        </w:tc>
      </w:tr>
      <w:tr>
        <w:tc>
          <w:tcPr>
            <w:tcW w:type="dxa" w:w="1440"/>
            <w:shd w:fill="f8fafc"/>
            <w:tcMar>
              <w:top w:w="50" w:type="dxa"/>
              <w:bottom w:w="50" w:type="dxa"/>
              <w:left w:w="60" w:type="dxa"/>
              <w:right w:w="60" w:type="dxa"/>
            </w:tcMar>
          </w:tcPr>
          <w:p>
            <w:pPr>
              <w:spacing w:line="276" w:lineRule="auto" w:after="0"/>
            </w:pPr>
            <w:r>
              <w:rPr>
                <w:rFonts w:ascii="Times New Roman" w:hAnsi="Times New Roman"/>
                <w:b/>
                <w:color w:val="1E3A8A"/>
                <w:sz w:val="18"/>
              </w:rPr>
              <w:t>FR-04</w:t>
            </w:r>
          </w:p>
        </w:tc>
        <w:tc>
          <w:tcPr>
            <w:tcW w:type="dxa" w:w="3024"/>
            <w:shd w:fill="f8fafc"/>
            <w:tcMar>
              <w:top w:w="50" w:type="dxa"/>
              <w:bottom w:w="50" w:type="dxa"/>
              <w:left w:w="60" w:type="dxa"/>
              <w:right w:w="60" w:type="dxa"/>
            </w:tcMar>
          </w:tcPr>
          <w:p>
            <w:pPr>
              <w:spacing w:line="276" w:lineRule="auto" w:after="0"/>
            </w:pPr>
            <w:r>
              <w:rPr>
                <w:rFonts w:ascii="Times New Roman" w:hAnsi="Times New Roman"/>
                <w:b/>
                <w:color w:val="0F172A"/>
                <w:sz w:val="18"/>
              </w:rPr>
              <w:t>Simulated Company &amp; Scenario Engine</w:t>
            </w:r>
          </w:p>
        </w:tc>
        <w:tc>
          <w:tcPr>
            <w:tcW w:type="dxa" w:w="4565"/>
            <w:shd w:fill="f8fafc"/>
            <w:tcMar>
              <w:top w:w="50" w:type="dxa"/>
              <w:bottom w:w="50" w:type="dxa"/>
              <w:left w:w="60" w:type="dxa"/>
              <w:right w:w="60" w:type="dxa"/>
            </w:tcMar>
          </w:tcPr>
          <w:p>
            <w:pPr>
              <w:spacing w:line="276" w:lineRule="auto" w:after="0"/>
            </w:pPr>
            <w:r>
              <w:rPr>
                <w:rFonts w:ascii="Times New Roman" w:hAnsi="Times New Roman"/>
                <w:sz w:val="18"/>
              </w:rPr>
              <w:t>The system shall maintain simulated corporate entities (FinFlow, OmniRetail), functional teams, and multi-sprint business simulation packages. Verified in prisma/schema.prisma.</w:t>
            </w:r>
          </w:p>
        </w:tc>
      </w:tr>
      <w:tr>
        <w:tc>
          <w:tcPr>
            <w:tcW w:type="dxa" w:w="1440"/>
            <w:shd w:fill="ffffff"/>
            <w:tcMar>
              <w:top w:w="50" w:type="dxa"/>
              <w:bottom w:w="50" w:type="dxa"/>
              <w:left w:w="60" w:type="dxa"/>
              <w:right w:w="60" w:type="dxa"/>
            </w:tcMar>
          </w:tcPr>
          <w:p>
            <w:pPr>
              <w:spacing w:line="276" w:lineRule="auto" w:after="0"/>
            </w:pPr>
            <w:r>
              <w:rPr>
                <w:rFonts w:ascii="Times New Roman" w:hAnsi="Times New Roman"/>
                <w:b/>
                <w:color w:val="1E3A8A"/>
                <w:sz w:val="18"/>
              </w:rPr>
              <w:t>FR-05</w:t>
            </w:r>
          </w:p>
        </w:tc>
        <w:tc>
          <w:tcPr>
            <w:tcW w:type="dxa" w:w="3024"/>
            <w:shd w:fill="ffffff"/>
            <w:tcMar>
              <w:top w:w="50" w:type="dxa"/>
              <w:bottom w:w="50" w:type="dxa"/>
              <w:left w:w="60" w:type="dxa"/>
              <w:right w:w="60" w:type="dxa"/>
            </w:tcMar>
          </w:tcPr>
          <w:p>
            <w:pPr>
              <w:spacing w:line="276" w:lineRule="auto" w:after="0"/>
            </w:pPr>
            <w:r>
              <w:rPr>
                <w:rFonts w:ascii="Times New Roman" w:hAnsi="Times New Roman"/>
                <w:b/>
                <w:color w:val="0F172A"/>
                <w:sz w:val="18"/>
              </w:rPr>
              <w:t>Task Backlog &amp; DAG Dependency Engine</w:t>
            </w:r>
          </w:p>
        </w:tc>
        <w:tc>
          <w:tcPr>
            <w:tcW w:type="dxa" w:w="4565"/>
            <w:shd w:fill="ffffff"/>
            <w:tcMar>
              <w:top w:w="50" w:type="dxa"/>
              <w:bottom w:w="50" w:type="dxa"/>
              <w:left w:w="60" w:type="dxa"/>
              <w:right w:w="60" w:type="dxa"/>
            </w:tcMar>
          </w:tcPr>
          <w:p>
            <w:pPr>
              <w:spacing w:line="276" w:lineRule="auto" w:after="0"/>
            </w:pPr>
            <w:r>
              <w:rPr>
                <w:rFonts w:ascii="Times New Roman" w:hAnsi="Times New Roman"/>
                <w:sz w:val="18"/>
              </w:rPr>
              <w:t>The system shall structure engineering work into discrete tickets with ticket keys (e.g. FF-104) and enforce prerequisite, sequential, and branching unlock conditions via a DAG engine.</w:t>
            </w:r>
          </w:p>
        </w:tc>
      </w:tr>
      <w:tr>
        <w:tc>
          <w:tcPr>
            <w:tcW w:type="dxa" w:w="1440"/>
            <w:shd w:fill="f8fafc"/>
            <w:tcMar>
              <w:top w:w="50" w:type="dxa"/>
              <w:bottom w:w="50" w:type="dxa"/>
              <w:left w:w="60" w:type="dxa"/>
              <w:right w:w="60" w:type="dxa"/>
            </w:tcMar>
          </w:tcPr>
          <w:p>
            <w:pPr>
              <w:spacing w:line="276" w:lineRule="auto" w:after="0"/>
            </w:pPr>
            <w:r>
              <w:rPr>
                <w:rFonts w:ascii="Times New Roman" w:hAnsi="Times New Roman"/>
                <w:b/>
                <w:color w:val="1E3A8A"/>
                <w:sz w:val="18"/>
              </w:rPr>
              <w:t>FR-06</w:t>
            </w:r>
          </w:p>
        </w:tc>
        <w:tc>
          <w:tcPr>
            <w:tcW w:type="dxa" w:w="3024"/>
            <w:shd w:fill="f8fafc"/>
            <w:tcMar>
              <w:top w:w="50" w:type="dxa"/>
              <w:bottom w:w="50" w:type="dxa"/>
              <w:left w:w="60" w:type="dxa"/>
              <w:right w:w="60" w:type="dxa"/>
            </w:tcMar>
          </w:tcPr>
          <w:p>
            <w:pPr>
              <w:spacing w:line="276" w:lineRule="auto" w:after="0"/>
            </w:pPr>
            <w:r>
              <w:rPr>
                <w:rFonts w:ascii="Times New Roman" w:hAnsi="Times New Roman"/>
                <w:b/>
                <w:color w:val="0F172A"/>
                <w:sz w:val="18"/>
              </w:rPr>
              <w:t>Workspace Orchestration &amp; Lifecycle</w:t>
            </w:r>
          </w:p>
        </w:tc>
        <w:tc>
          <w:tcPr>
            <w:tcW w:type="dxa" w:w="4565"/>
            <w:shd w:fill="f8fafc"/>
            <w:tcMar>
              <w:top w:w="50" w:type="dxa"/>
              <w:bottom w:w="50" w:type="dxa"/>
              <w:left w:w="60" w:type="dxa"/>
              <w:right w:w="60" w:type="dxa"/>
            </w:tcMar>
          </w:tcPr>
          <w:p>
            <w:pPr>
              <w:spacing w:line="276" w:lineRule="auto" w:after="0"/>
            </w:pPr>
            <w:r>
              <w:rPr>
                <w:rFonts w:ascii="Times New Roman" w:hAnsi="Times New Roman"/>
                <w:sz w:val="18"/>
              </w:rPr>
              <w:t>The system shall provision, monitor, and terminate isolated development sandboxes, enforcing a limit of 2 concurrent workspaces per student and a 30-minute idle timeout. Verified in src/lib/workspace/orchestrator.ts.</w:t>
            </w:r>
          </w:p>
        </w:tc>
      </w:tr>
      <w:tr>
        <w:tc>
          <w:tcPr>
            <w:tcW w:type="dxa" w:w="1440"/>
            <w:shd w:fill="ffffff"/>
            <w:tcMar>
              <w:top w:w="50" w:type="dxa"/>
              <w:bottom w:w="50" w:type="dxa"/>
              <w:left w:w="60" w:type="dxa"/>
              <w:right w:w="60" w:type="dxa"/>
            </w:tcMar>
          </w:tcPr>
          <w:p>
            <w:pPr>
              <w:spacing w:line="276" w:lineRule="auto" w:after="0"/>
            </w:pPr>
            <w:r>
              <w:rPr>
                <w:rFonts w:ascii="Times New Roman" w:hAnsi="Times New Roman"/>
                <w:b/>
                <w:color w:val="1E3A8A"/>
                <w:sz w:val="18"/>
              </w:rPr>
              <w:t>FR-07</w:t>
            </w:r>
          </w:p>
        </w:tc>
        <w:tc>
          <w:tcPr>
            <w:tcW w:type="dxa" w:w="3024"/>
            <w:shd w:fill="ffffff"/>
            <w:tcMar>
              <w:top w:w="50" w:type="dxa"/>
              <w:bottom w:w="50" w:type="dxa"/>
              <w:left w:w="60" w:type="dxa"/>
              <w:right w:w="60" w:type="dxa"/>
            </w:tcMar>
          </w:tcPr>
          <w:p>
            <w:pPr>
              <w:spacing w:line="276" w:lineRule="auto" w:after="0"/>
            </w:pPr>
            <w:r>
              <w:rPr>
                <w:rFonts w:ascii="Times New Roman" w:hAnsi="Times New Roman"/>
                <w:b/>
                <w:color w:val="0F172A"/>
                <w:sz w:val="18"/>
              </w:rPr>
              <w:t>Isolated Sandbox Process Jailing</w:t>
            </w:r>
          </w:p>
        </w:tc>
        <w:tc>
          <w:tcPr>
            <w:tcW w:type="dxa" w:w="4565"/>
            <w:shd w:fill="ffffff"/>
            <w:tcMar>
              <w:top w:w="50" w:type="dxa"/>
              <w:bottom w:w="50" w:type="dxa"/>
              <w:left w:w="60" w:type="dxa"/>
              <w:right w:w="60" w:type="dxa"/>
            </w:tcMar>
          </w:tcPr>
          <w:p>
            <w:pPr>
              <w:spacing w:line="276" w:lineRule="auto" w:after="0"/>
            </w:pPr>
            <w:r>
              <w:rPr>
                <w:rFonts w:ascii="Times New Roman" w:hAnsi="Times New Roman"/>
                <w:sz w:val="18"/>
              </w:rPr>
              <w:t>The execution provider shall spawn process-isolated commands within dedicated .workspaces/&lt;id&gt; directories, restricting filesystem escape and enforcing a hard 4000ms timeout. Verified in src/lib/workspace/providers/sandbox-provider.ts.</w:t>
            </w:r>
          </w:p>
        </w:tc>
      </w:tr>
      <w:tr>
        <w:tc>
          <w:tcPr>
            <w:tcW w:type="dxa" w:w="1440"/>
            <w:shd w:fill="f8fafc"/>
            <w:tcMar>
              <w:top w:w="50" w:type="dxa"/>
              <w:bottom w:w="50" w:type="dxa"/>
              <w:left w:w="60" w:type="dxa"/>
              <w:right w:w="60" w:type="dxa"/>
            </w:tcMar>
          </w:tcPr>
          <w:p>
            <w:pPr>
              <w:spacing w:line="276" w:lineRule="auto" w:after="0"/>
            </w:pPr>
            <w:r>
              <w:rPr>
                <w:rFonts w:ascii="Times New Roman" w:hAnsi="Times New Roman"/>
                <w:b/>
                <w:color w:val="1E3A8A"/>
                <w:sz w:val="18"/>
              </w:rPr>
              <w:t>FR-08</w:t>
            </w:r>
          </w:p>
        </w:tc>
        <w:tc>
          <w:tcPr>
            <w:tcW w:type="dxa" w:w="3024"/>
            <w:shd w:fill="f8fafc"/>
            <w:tcMar>
              <w:top w:w="50" w:type="dxa"/>
              <w:bottom w:w="50" w:type="dxa"/>
              <w:left w:w="60" w:type="dxa"/>
              <w:right w:w="60" w:type="dxa"/>
            </w:tcMar>
          </w:tcPr>
          <w:p>
            <w:pPr>
              <w:spacing w:line="276" w:lineRule="auto" w:after="0"/>
            </w:pPr>
            <w:r>
              <w:rPr>
                <w:rFonts w:ascii="Times New Roman" w:hAnsi="Times New Roman"/>
                <w:b/>
                <w:color w:val="0F172A"/>
                <w:sz w:val="18"/>
              </w:rPr>
              <w:t>In-Sandbox Automated Test Runner</w:t>
            </w:r>
          </w:p>
        </w:tc>
        <w:tc>
          <w:tcPr>
            <w:tcW w:type="dxa" w:w="4565"/>
            <w:shd w:fill="f8fafc"/>
            <w:tcMar>
              <w:top w:w="50" w:type="dxa"/>
              <w:bottom w:w="50" w:type="dxa"/>
              <w:left w:w="60" w:type="dxa"/>
              <w:right w:w="60" w:type="dxa"/>
            </w:tcMar>
          </w:tcPr>
          <w:p>
            <w:pPr>
              <w:spacing w:line="276" w:lineRule="auto" w:after="0"/>
            </w:pPr>
            <w:r>
              <w:rPr>
                <w:rFonts w:ascii="Times New Roman" w:hAnsi="Times New Roman"/>
                <w:sz w:val="18"/>
              </w:rPr>
              <w:t>The system shall execute local test suites (e.g. npm test / vitest) within the workspace sandbox, streaming test summary results (passed, failed, duration) to the client UI. Verified in src/app/api/workspaces/[id]/test/route.ts.</w:t>
            </w:r>
          </w:p>
        </w:tc>
      </w:tr>
      <w:tr>
        <w:tc>
          <w:tcPr>
            <w:tcW w:type="dxa" w:w="1440"/>
            <w:shd w:fill="ffffff"/>
            <w:tcMar>
              <w:top w:w="50" w:type="dxa"/>
              <w:bottom w:w="50" w:type="dxa"/>
              <w:left w:w="60" w:type="dxa"/>
              <w:right w:w="60" w:type="dxa"/>
            </w:tcMar>
          </w:tcPr>
          <w:p>
            <w:pPr>
              <w:spacing w:line="276" w:lineRule="auto" w:after="0"/>
            </w:pPr>
            <w:r>
              <w:rPr>
                <w:rFonts w:ascii="Times New Roman" w:hAnsi="Times New Roman"/>
                <w:b/>
                <w:color w:val="1E3A8A"/>
                <w:sz w:val="18"/>
              </w:rPr>
              <w:t>FR-09</w:t>
            </w:r>
          </w:p>
        </w:tc>
        <w:tc>
          <w:tcPr>
            <w:tcW w:type="dxa" w:w="3024"/>
            <w:shd w:fill="ffffff"/>
            <w:tcMar>
              <w:top w:w="50" w:type="dxa"/>
              <w:bottom w:w="50" w:type="dxa"/>
              <w:left w:w="60" w:type="dxa"/>
              <w:right w:w="60" w:type="dxa"/>
            </w:tcMar>
          </w:tcPr>
          <w:p>
            <w:pPr>
              <w:spacing w:line="276" w:lineRule="auto" w:after="0"/>
            </w:pPr>
            <w:r>
              <w:rPr>
                <w:rFonts w:ascii="Times New Roman" w:hAnsi="Times New Roman"/>
                <w:b/>
                <w:color w:val="0F172A"/>
                <w:sz w:val="18"/>
              </w:rPr>
              <w:t>Git Pull Request &amp; Diff Capture</w:t>
            </w:r>
          </w:p>
        </w:tc>
        <w:tc>
          <w:tcPr>
            <w:tcW w:type="dxa" w:w="4565"/>
            <w:shd w:fill="ffffff"/>
            <w:tcMar>
              <w:top w:w="50" w:type="dxa"/>
              <w:bottom w:w="50" w:type="dxa"/>
              <w:left w:w="60" w:type="dxa"/>
              <w:right w:w="60" w:type="dxa"/>
            </w:tcMar>
          </w:tcPr>
          <w:p>
            <w:pPr>
              <w:spacing w:line="276" w:lineRule="auto" w:after="0"/>
            </w:pPr>
            <w:r>
              <w:rPr>
                <w:rFonts w:ascii="Times New Roman" w:hAnsi="Times New Roman"/>
                <w:sz w:val="18"/>
              </w:rPr>
              <w:t>The system shall capture workspace file snapshots, compute Git unified diff summaries against the base template, and generate formal pull request submission records. Verified in src/app/api/workspaces/[id]/submit/route.ts.</w:t>
            </w:r>
          </w:p>
        </w:tc>
      </w:tr>
      <w:tr>
        <w:tc>
          <w:tcPr>
            <w:tcW w:type="dxa" w:w="1440"/>
            <w:shd w:fill="f8fafc"/>
            <w:tcMar>
              <w:top w:w="50" w:type="dxa"/>
              <w:bottom w:w="50" w:type="dxa"/>
              <w:left w:w="60" w:type="dxa"/>
              <w:right w:w="60" w:type="dxa"/>
            </w:tcMar>
          </w:tcPr>
          <w:p>
            <w:pPr>
              <w:spacing w:line="276" w:lineRule="auto" w:after="0"/>
            </w:pPr>
            <w:r>
              <w:rPr>
                <w:rFonts w:ascii="Times New Roman" w:hAnsi="Times New Roman"/>
                <w:b/>
                <w:color w:val="1E3A8A"/>
                <w:sz w:val="18"/>
              </w:rPr>
              <w:t>FR-10</w:t>
            </w:r>
          </w:p>
        </w:tc>
        <w:tc>
          <w:tcPr>
            <w:tcW w:type="dxa" w:w="3024"/>
            <w:shd w:fill="f8fafc"/>
            <w:tcMar>
              <w:top w:w="50" w:type="dxa"/>
              <w:bottom w:w="50" w:type="dxa"/>
              <w:left w:w="60" w:type="dxa"/>
              <w:right w:w="60" w:type="dxa"/>
            </w:tcMar>
          </w:tcPr>
          <w:p>
            <w:pPr>
              <w:spacing w:line="276" w:lineRule="auto" w:after="0"/>
            </w:pPr>
            <w:r>
              <w:rPr>
                <w:rFonts w:ascii="Times New Roman" w:hAnsi="Times New Roman"/>
                <w:b/>
                <w:color w:val="0F172A"/>
                <w:sz w:val="18"/>
              </w:rPr>
              <w:t>Automated Rubric &amp; AI Review Engine</w:t>
            </w:r>
          </w:p>
        </w:tc>
        <w:tc>
          <w:tcPr>
            <w:tcW w:type="dxa" w:w="4565"/>
            <w:shd w:fill="f8fafc"/>
            <w:tcMar>
              <w:top w:w="50" w:type="dxa"/>
              <w:bottom w:w="50" w:type="dxa"/>
              <w:left w:w="60" w:type="dxa"/>
              <w:right w:w="60" w:type="dxa"/>
            </w:tcMar>
          </w:tcPr>
          <w:p>
            <w:pPr>
              <w:spacing w:line="276" w:lineRule="auto" w:after="0"/>
            </w:pPr>
            <w:r>
              <w:rPr>
                <w:rFonts w:ascii="Times New Roman" w:hAnsi="Times New Roman"/>
                <w:sz w:val="18"/>
              </w:rPr>
              <w:t>The system shall evaluate submitted pull request diffs against structured rubric criteria (e.g., idempotency, error handling, code style) and record line-by-line feedback with numerical scores (0–100).</w:t>
            </w:r>
          </w:p>
        </w:tc>
      </w:tr>
      <w:tr>
        <w:tc>
          <w:tcPr>
            <w:tcW w:type="dxa" w:w="1440"/>
            <w:shd w:fill="ffffff"/>
            <w:tcMar>
              <w:top w:w="50" w:type="dxa"/>
              <w:bottom w:w="50" w:type="dxa"/>
              <w:left w:w="60" w:type="dxa"/>
              <w:right w:w="60" w:type="dxa"/>
            </w:tcMar>
          </w:tcPr>
          <w:p>
            <w:pPr>
              <w:spacing w:line="276" w:lineRule="auto" w:after="0"/>
            </w:pPr>
            <w:r>
              <w:rPr>
                <w:rFonts w:ascii="Times New Roman" w:hAnsi="Times New Roman"/>
                <w:b/>
                <w:color w:val="1E3A8A"/>
                <w:sz w:val="18"/>
              </w:rPr>
              <w:t>FR-11</w:t>
            </w:r>
          </w:p>
        </w:tc>
        <w:tc>
          <w:tcPr>
            <w:tcW w:type="dxa" w:w="3024"/>
            <w:shd w:fill="ffffff"/>
            <w:tcMar>
              <w:top w:w="50" w:type="dxa"/>
              <w:bottom w:w="50" w:type="dxa"/>
              <w:left w:w="60" w:type="dxa"/>
              <w:right w:w="60" w:type="dxa"/>
            </w:tcMar>
          </w:tcPr>
          <w:p>
            <w:pPr>
              <w:spacing w:line="276" w:lineRule="auto" w:after="0"/>
            </w:pPr>
            <w:r>
              <w:rPr>
                <w:rFonts w:ascii="Times New Roman" w:hAnsi="Times New Roman"/>
                <w:b/>
                <w:color w:val="0F172A"/>
                <w:sz w:val="18"/>
              </w:rPr>
              <w:t>Verifiable Evidence-of-Skill Dossier</w:t>
            </w:r>
          </w:p>
        </w:tc>
        <w:tc>
          <w:tcPr>
            <w:tcW w:type="dxa" w:w="4565"/>
            <w:shd w:fill="ffffff"/>
            <w:tcMar>
              <w:top w:w="50" w:type="dxa"/>
              <w:bottom w:w="50" w:type="dxa"/>
              <w:left w:w="60" w:type="dxa"/>
              <w:right w:w="60" w:type="dxa"/>
            </w:tcMar>
          </w:tcPr>
          <w:p>
            <w:pPr>
              <w:spacing w:line="276" w:lineRule="auto" w:after="0"/>
            </w:pPr>
            <w:r>
              <w:rPr>
                <w:rFonts w:ascii="Times New Roman" w:hAnsi="Times New Roman"/>
                <w:sz w:val="18"/>
              </w:rPr>
              <w:t>Upon simulation completion, the system shall compile an immutable portfolio dossier containing verified Git commit SHAs, test logs, and rubric scores. Verified in prisma/schema.prisma (PortfolioItem).</w:t>
            </w:r>
          </w:p>
        </w:tc>
      </w:tr>
      <w:tr>
        <w:tc>
          <w:tcPr>
            <w:tcW w:type="dxa" w:w="1440"/>
            <w:shd w:fill="f8fafc"/>
            <w:tcMar>
              <w:top w:w="50" w:type="dxa"/>
              <w:bottom w:w="50" w:type="dxa"/>
              <w:left w:w="60" w:type="dxa"/>
              <w:right w:w="60" w:type="dxa"/>
            </w:tcMar>
          </w:tcPr>
          <w:p>
            <w:pPr>
              <w:spacing w:line="276" w:lineRule="auto" w:after="0"/>
            </w:pPr>
            <w:r>
              <w:rPr>
                <w:rFonts w:ascii="Times New Roman" w:hAnsi="Times New Roman"/>
                <w:b/>
                <w:color w:val="1E3A8A"/>
                <w:sz w:val="18"/>
              </w:rPr>
              <w:t>FR-12</w:t>
            </w:r>
          </w:p>
        </w:tc>
        <w:tc>
          <w:tcPr>
            <w:tcW w:type="dxa" w:w="3024"/>
            <w:shd w:fill="f8fafc"/>
            <w:tcMar>
              <w:top w:w="50" w:type="dxa"/>
              <w:bottom w:w="50" w:type="dxa"/>
              <w:left w:w="60" w:type="dxa"/>
              <w:right w:w="60" w:type="dxa"/>
            </w:tcMar>
          </w:tcPr>
          <w:p>
            <w:pPr>
              <w:spacing w:line="276" w:lineRule="auto" w:after="0"/>
            </w:pPr>
            <w:r>
              <w:rPr>
                <w:rFonts w:ascii="Times New Roman" w:hAnsi="Times New Roman"/>
                <w:b/>
                <w:color w:val="0F172A"/>
                <w:sz w:val="18"/>
              </w:rPr>
              <w:t>Immutable System Audit Logging</w:t>
            </w:r>
          </w:p>
        </w:tc>
        <w:tc>
          <w:tcPr>
            <w:tcW w:type="dxa" w:w="4565"/>
            <w:shd w:fill="f8fafc"/>
            <w:tcMar>
              <w:top w:w="50" w:type="dxa"/>
              <w:bottom w:w="50" w:type="dxa"/>
              <w:left w:w="60" w:type="dxa"/>
              <w:right w:w="60" w:type="dxa"/>
            </w:tcMar>
          </w:tcPr>
          <w:p>
            <w:pPr>
              <w:spacing w:line="276" w:lineRule="auto" w:after="0"/>
            </w:pPr>
            <w:r>
              <w:rPr>
                <w:rFonts w:ascii="Times New Roman" w:hAnsi="Times New Roman"/>
                <w:sz w:val="18"/>
              </w:rPr>
              <w:t>The system shall record all critical user actions (registration, workspace launch, command execution, PR submission) into an append-only audit log table with IP addresses and JSON metadata. Verified in prisma/schema.prisma (AuditLog).</w:t>
            </w:r>
          </w:p>
        </w:tc>
      </w:tr>
    </w:tbl>
    <w:p>
      <w:pPr>
        <w:spacing w:after="120"/>
      </w:pPr>
    </w:p>
    <w:p>
      <w:pPr>
        <w:keepNext/>
        <w:spacing w:before="280" w:after="100"/>
      </w:pPr>
      <w:r>
        <w:rPr>
          <w:rFonts w:ascii="Times New Roman" w:hAnsi="Times New Roman"/>
          <w:b/>
          <w:color w:val="1E3A8A"/>
          <w:sz w:val="28"/>
        </w:rPr>
        <w:t>3.4 Non-Functional Requirements Specification</w:t>
      </w:r>
    </w:p>
    <w:p>
      <w:pPr>
        <w:spacing w:line="360" w:lineRule="auto" w:after="120"/>
        <w:jc w:val="both"/>
      </w:pPr>
      <w:r>
        <w:rPr>
          <w:rFonts w:ascii="Times New Roman" w:hAnsi="Times New Roman"/>
          <w:sz w:val="24"/>
        </w:rPr>
        <w:t>The non-functional requirements define the quality attributes, performance constraints, and security standards governing the system. Table 3.2 details the eight primary non-functional requirements (NFR-01 through NFR-08):</w:t>
      </w:r>
    </w:p>
    <w:p>
      <w:pPr>
        <w:spacing w:before="160" w:after="40"/>
        <w:jc w:val="center"/>
      </w:pPr>
      <w:r>
        <w:rPr>
          <w:rFonts w:ascii="Times New Roman" w:hAnsi="Times New Roman"/>
          <w:b/>
          <w:i/>
          <w:color w:val="1E3A8A"/>
          <w:sz w:val="20"/>
        </w:rPr>
        <w:t>Table 3.2: Non-Functional Requirements and System Quality Attributes (NFR-01 to NFR-08).</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1440"/>
            <w:shd w:fill="1e3a8a"/>
            <w:tcMar>
              <w:top w:w="70" w:type="dxa"/>
              <w:bottom w:w="70" w:type="dxa"/>
              <w:left w:w="70" w:type="dxa"/>
              <w:right w:w="70" w:type="dxa"/>
            </w:tcMar>
          </w:tcPr>
          <w:p>
            <w:pPr>
              <w:spacing w:after="0"/>
              <w:jc w:val="center"/>
            </w:pPr>
            <w:r>
              <w:rPr>
                <w:rFonts w:ascii="Times New Roman" w:hAnsi="Times New Roman"/>
                <w:b/>
                <w:color w:val="FFFFFF"/>
                <w:sz w:val="19"/>
              </w:rPr>
              <w:t>Req ID</w:t>
            </w:r>
          </w:p>
        </w:tc>
        <w:tc>
          <w:tcPr>
            <w:tcW w:type="dxa" w:w="3024"/>
            <w:shd w:fill="1e3a8a"/>
            <w:tcMar>
              <w:top w:w="70" w:type="dxa"/>
              <w:bottom w:w="70" w:type="dxa"/>
              <w:left w:w="70" w:type="dxa"/>
              <w:right w:w="70" w:type="dxa"/>
            </w:tcMar>
          </w:tcPr>
          <w:p>
            <w:pPr>
              <w:spacing w:after="0"/>
              <w:jc w:val="center"/>
            </w:pPr>
            <w:r>
              <w:rPr>
                <w:rFonts w:ascii="Times New Roman" w:hAnsi="Times New Roman"/>
                <w:b/>
                <w:color w:val="FFFFFF"/>
                <w:sz w:val="19"/>
              </w:rPr>
              <w:t>Quality Category</w:t>
            </w:r>
          </w:p>
        </w:tc>
        <w:tc>
          <w:tcPr>
            <w:tcW w:type="dxa" w:w="4565"/>
            <w:shd w:fill="1e3a8a"/>
            <w:tcMar>
              <w:top w:w="70" w:type="dxa"/>
              <w:bottom w:w="70" w:type="dxa"/>
              <w:left w:w="70" w:type="dxa"/>
              <w:right w:w="70" w:type="dxa"/>
            </w:tcMar>
          </w:tcPr>
          <w:p>
            <w:pPr>
              <w:spacing w:after="0"/>
              <w:jc w:val="center"/>
            </w:pPr>
            <w:r>
              <w:rPr>
                <w:rFonts w:ascii="Times New Roman" w:hAnsi="Times New Roman"/>
                <w:b/>
                <w:color w:val="FFFFFF"/>
                <w:sz w:val="19"/>
              </w:rPr>
              <w:t>Measurable Specification &amp; Target Threshold</w:t>
            </w:r>
          </w:p>
        </w:tc>
      </w:tr>
      <w:tr>
        <w:tc>
          <w:tcPr>
            <w:tcW w:type="dxa" w:w="1440"/>
            <w:shd w:fill="ffffff"/>
            <w:tcMar>
              <w:top w:w="50" w:type="dxa"/>
              <w:bottom w:w="50" w:type="dxa"/>
              <w:left w:w="60" w:type="dxa"/>
              <w:right w:w="60" w:type="dxa"/>
            </w:tcMar>
          </w:tcPr>
          <w:p>
            <w:pPr>
              <w:spacing w:line="276" w:lineRule="auto" w:after="0"/>
            </w:pPr>
            <w:r>
              <w:rPr>
                <w:rFonts w:ascii="Times New Roman" w:hAnsi="Times New Roman"/>
                <w:b/>
                <w:color w:val="1E3A8A"/>
                <w:sz w:val="18"/>
              </w:rPr>
              <w:t>NFR-01</w:t>
            </w:r>
          </w:p>
        </w:tc>
        <w:tc>
          <w:tcPr>
            <w:tcW w:type="dxa" w:w="3024"/>
            <w:shd w:fill="ffffff"/>
            <w:tcMar>
              <w:top w:w="50" w:type="dxa"/>
              <w:bottom w:w="50" w:type="dxa"/>
              <w:left w:w="60" w:type="dxa"/>
              <w:right w:w="60" w:type="dxa"/>
            </w:tcMar>
          </w:tcPr>
          <w:p>
            <w:pPr>
              <w:spacing w:line="276" w:lineRule="auto" w:after="0"/>
            </w:pPr>
            <w:r>
              <w:rPr>
                <w:rFonts w:ascii="Times New Roman" w:hAnsi="Times New Roman"/>
                <w:b/>
                <w:color w:val="0F172A"/>
                <w:sz w:val="18"/>
              </w:rPr>
              <w:t>Execution Latency &amp; Performance</w:t>
            </w:r>
          </w:p>
        </w:tc>
        <w:tc>
          <w:tcPr>
            <w:tcW w:type="dxa" w:w="4565"/>
            <w:shd w:fill="ffffff"/>
            <w:tcMar>
              <w:top w:w="50" w:type="dxa"/>
              <w:bottom w:w="50" w:type="dxa"/>
              <w:left w:w="60" w:type="dxa"/>
              <w:right w:w="60" w:type="dxa"/>
            </w:tcMar>
          </w:tcPr>
          <w:p>
            <w:pPr>
              <w:spacing w:line="276" w:lineRule="auto" w:after="0"/>
            </w:pPr>
            <w:r>
              <w:rPr>
                <w:rFonts w:ascii="Times New Roman" w:hAnsi="Times New Roman"/>
                <w:sz w:val="18"/>
              </w:rPr>
              <w:t>Web pages shall render in under 1.5 seconds. Workspace command execution initiation shall complete within 250 milliseconds under standard load.</w:t>
            </w:r>
          </w:p>
        </w:tc>
      </w:tr>
      <w:tr>
        <w:tc>
          <w:tcPr>
            <w:tcW w:type="dxa" w:w="1440"/>
            <w:shd w:fill="f8fafc"/>
            <w:tcMar>
              <w:top w:w="50" w:type="dxa"/>
              <w:bottom w:w="50" w:type="dxa"/>
              <w:left w:w="60" w:type="dxa"/>
              <w:right w:w="60" w:type="dxa"/>
            </w:tcMar>
          </w:tcPr>
          <w:p>
            <w:pPr>
              <w:spacing w:line="276" w:lineRule="auto" w:after="0"/>
            </w:pPr>
            <w:r>
              <w:rPr>
                <w:rFonts w:ascii="Times New Roman" w:hAnsi="Times New Roman"/>
                <w:b/>
                <w:color w:val="1E3A8A"/>
                <w:sz w:val="18"/>
              </w:rPr>
              <w:t>NFR-02</w:t>
            </w:r>
          </w:p>
        </w:tc>
        <w:tc>
          <w:tcPr>
            <w:tcW w:type="dxa" w:w="3024"/>
            <w:shd w:fill="f8fafc"/>
            <w:tcMar>
              <w:top w:w="50" w:type="dxa"/>
              <w:bottom w:w="50" w:type="dxa"/>
              <w:left w:w="60" w:type="dxa"/>
              <w:right w:w="60" w:type="dxa"/>
            </w:tcMar>
          </w:tcPr>
          <w:p>
            <w:pPr>
              <w:spacing w:line="276" w:lineRule="auto" w:after="0"/>
            </w:pPr>
            <w:r>
              <w:rPr>
                <w:rFonts w:ascii="Times New Roman" w:hAnsi="Times New Roman"/>
                <w:b/>
                <w:color w:val="0F172A"/>
                <w:sz w:val="18"/>
              </w:rPr>
              <w:t>Multi-Tenant Process Isolation</w:t>
            </w:r>
          </w:p>
        </w:tc>
        <w:tc>
          <w:tcPr>
            <w:tcW w:type="dxa" w:w="4565"/>
            <w:shd w:fill="f8fafc"/>
            <w:tcMar>
              <w:top w:w="50" w:type="dxa"/>
              <w:bottom w:w="50" w:type="dxa"/>
              <w:left w:w="60" w:type="dxa"/>
              <w:right w:w="60" w:type="dxa"/>
            </w:tcMar>
          </w:tcPr>
          <w:p>
            <w:pPr>
              <w:spacing w:line="276" w:lineRule="auto" w:after="0"/>
            </w:pPr>
            <w:r>
              <w:rPr>
                <w:rFonts w:ascii="Times New Roman" w:hAnsi="Times New Roman"/>
                <w:sz w:val="18"/>
              </w:rPr>
              <w:t>Processes spawned within a student's sandbox shall be strictly jailed within .workspaces/&lt;workspaceId&gt;. Directory traversal (e.g. ../../) and cross-workspace access shall be programmatically rejected.</w:t>
            </w:r>
          </w:p>
        </w:tc>
      </w:tr>
      <w:tr>
        <w:tc>
          <w:tcPr>
            <w:tcW w:type="dxa" w:w="1440"/>
            <w:shd w:fill="ffffff"/>
            <w:tcMar>
              <w:top w:w="50" w:type="dxa"/>
              <w:bottom w:w="50" w:type="dxa"/>
              <w:left w:w="60" w:type="dxa"/>
              <w:right w:w="60" w:type="dxa"/>
            </w:tcMar>
          </w:tcPr>
          <w:p>
            <w:pPr>
              <w:spacing w:line="276" w:lineRule="auto" w:after="0"/>
            </w:pPr>
            <w:r>
              <w:rPr>
                <w:rFonts w:ascii="Times New Roman" w:hAnsi="Times New Roman"/>
                <w:b/>
                <w:color w:val="1E3A8A"/>
                <w:sz w:val="18"/>
              </w:rPr>
              <w:t>NFR-03</w:t>
            </w:r>
          </w:p>
        </w:tc>
        <w:tc>
          <w:tcPr>
            <w:tcW w:type="dxa" w:w="3024"/>
            <w:shd w:fill="ffffff"/>
            <w:tcMar>
              <w:top w:w="50" w:type="dxa"/>
              <w:bottom w:w="50" w:type="dxa"/>
              <w:left w:w="60" w:type="dxa"/>
              <w:right w:w="60" w:type="dxa"/>
            </w:tcMar>
          </w:tcPr>
          <w:p>
            <w:pPr>
              <w:spacing w:line="276" w:lineRule="auto" w:after="0"/>
            </w:pPr>
            <w:r>
              <w:rPr>
                <w:rFonts w:ascii="Times New Roman" w:hAnsi="Times New Roman"/>
                <w:b/>
                <w:color w:val="0F172A"/>
                <w:sz w:val="18"/>
              </w:rPr>
              <w:t>Resource Throttling &amp; Quotas</w:t>
            </w:r>
          </w:p>
        </w:tc>
        <w:tc>
          <w:tcPr>
            <w:tcW w:type="dxa" w:w="4565"/>
            <w:shd w:fill="ffffff"/>
            <w:tcMar>
              <w:top w:w="50" w:type="dxa"/>
              <w:bottom w:w="50" w:type="dxa"/>
              <w:left w:w="60" w:type="dxa"/>
              <w:right w:w="60" w:type="dxa"/>
            </w:tcMar>
          </w:tcPr>
          <w:p>
            <w:pPr>
              <w:spacing w:line="276" w:lineRule="auto" w:after="0"/>
            </w:pPr>
            <w:r>
              <w:rPr>
                <w:rFonts w:ascii="Times New Roman" w:hAnsi="Times New Roman"/>
                <w:sz w:val="18"/>
              </w:rPr>
              <w:t>Workspaces shall be constrained to 2.0 virtual CPU cores and 4096 MB RAM. In-sandbox test execution shall terminate unconditionally if runtime exceeds 4000ms.</w:t>
            </w:r>
          </w:p>
        </w:tc>
      </w:tr>
      <w:tr>
        <w:tc>
          <w:tcPr>
            <w:tcW w:type="dxa" w:w="1440"/>
            <w:shd w:fill="f8fafc"/>
            <w:tcMar>
              <w:top w:w="50" w:type="dxa"/>
              <w:bottom w:w="50" w:type="dxa"/>
              <w:left w:w="60" w:type="dxa"/>
              <w:right w:w="60" w:type="dxa"/>
            </w:tcMar>
          </w:tcPr>
          <w:p>
            <w:pPr>
              <w:spacing w:line="276" w:lineRule="auto" w:after="0"/>
            </w:pPr>
            <w:r>
              <w:rPr>
                <w:rFonts w:ascii="Times New Roman" w:hAnsi="Times New Roman"/>
                <w:b/>
                <w:color w:val="1E3A8A"/>
                <w:sz w:val="18"/>
              </w:rPr>
              <w:t>NFR-04</w:t>
            </w:r>
          </w:p>
        </w:tc>
        <w:tc>
          <w:tcPr>
            <w:tcW w:type="dxa" w:w="3024"/>
            <w:shd w:fill="f8fafc"/>
            <w:tcMar>
              <w:top w:w="50" w:type="dxa"/>
              <w:bottom w:w="50" w:type="dxa"/>
              <w:left w:w="60" w:type="dxa"/>
              <w:right w:w="60" w:type="dxa"/>
            </w:tcMar>
          </w:tcPr>
          <w:p>
            <w:pPr>
              <w:spacing w:line="276" w:lineRule="auto" w:after="0"/>
            </w:pPr>
            <w:r>
              <w:rPr>
                <w:rFonts w:ascii="Times New Roman" w:hAnsi="Times New Roman"/>
                <w:b/>
                <w:color w:val="0F172A"/>
                <w:sz w:val="18"/>
              </w:rPr>
              <w:t>Authentication Security</w:t>
            </w:r>
          </w:p>
        </w:tc>
        <w:tc>
          <w:tcPr>
            <w:tcW w:type="dxa" w:w="4565"/>
            <w:shd w:fill="f8fafc"/>
            <w:tcMar>
              <w:top w:w="50" w:type="dxa"/>
              <w:bottom w:w="50" w:type="dxa"/>
              <w:left w:w="60" w:type="dxa"/>
              <w:right w:w="60" w:type="dxa"/>
            </w:tcMar>
          </w:tcPr>
          <w:p>
            <w:pPr>
              <w:spacing w:line="276" w:lineRule="auto" w:after="0"/>
            </w:pPr>
            <w:r>
              <w:rPr>
                <w:rFonts w:ascii="Times New Roman" w:hAnsi="Times New Roman"/>
                <w:sz w:val="18"/>
              </w:rPr>
              <w:t>Passwords must be hashed using bcryptjs with a minimum work factor of 12 salt rounds. JWT session tokens must be signed using 256-bit secret keys and expire in 24 hours.</w:t>
            </w:r>
          </w:p>
        </w:tc>
      </w:tr>
      <w:tr>
        <w:tc>
          <w:tcPr>
            <w:tcW w:type="dxa" w:w="1440"/>
            <w:shd w:fill="ffffff"/>
            <w:tcMar>
              <w:top w:w="50" w:type="dxa"/>
              <w:bottom w:w="50" w:type="dxa"/>
              <w:left w:w="60" w:type="dxa"/>
              <w:right w:w="60" w:type="dxa"/>
            </w:tcMar>
          </w:tcPr>
          <w:p>
            <w:pPr>
              <w:spacing w:line="276" w:lineRule="auto" w:after="0"/>
            </w:pPr>
            <w:r>
              <w:rPr>
                <w:rFonts w:ascii="Times New Roman" w:hAnsi="Times New Roman"/>
                <w:b/>
                <w:color w:val="1E3A8A"/>
                <w:sz w:val="18"/>
              </w:rPr>
              <w:t>NFR-05</w:t>
            </w:r>
          </w:p>
        </w:tc>
        <w:tc>
          <w:tcPr>
            <w:tcW w:type="dxa" w:w="3024"/>
            <w:shd w:fill="ffffff"/>
            <w:tcMar>
              <w:top w:w="50" w:type="dxa"/>
              <w:bottom w:w="50" w:type="dxa"/>
              <w:left w:w="60" w:type="dxa"/>
              <w:right w:w="60" w:type="dxa"/>
            </w:tcMar>
          </w:tcPr>
          <w:p>
            <w:pPr>
              <w:spacing w:line="276" w:lineRule="auto" w:after="0"/>
            </w:pPr>
            <w:r>
              <w:rPr>
                <w:rFonts w:ascii="Times New Roman" w:hAnsi="Times New Roman"/>
                <w:b/>
                <w:color w:val="0F172A"/>
                <w:sz w:val="18"/>
              </w:rPr>
              <w:t>Data Integrity &amp; Referential Constraints</w:t>
            </w:r>
          </w:p>
        </w:tc>
        <w:tc>
          <w:tcPr>
            <w:tcW w:type="dxa" w:w="4565"/>
            <w:shd w:fill="ffffff"/>
            <w:tcMar>
              <w:top w:w="50" w:type="dxa"/>
              <w:bottom w:w="50" w:type="dxa"/>
              <w:left w:w="60" w:type="dxa"/>
              <w:right w:w="60" w:type="dxa"/>
            </w:tcMar>
          </w:tcPr>
          <w:p>
            <w:pPr>
              <w:spacing w:line="276" w:lineRule="auto" w:after="0"/>
            </w:pPr>
            <w:r>
              <w:rPr>
                <w:rFonts w:ascii="Times New Roman" w:hAnsi="Times New Roman"/>
                <w:sz w:val="18"/>
              </w:rPr>
              <w:t>The database must enforce strict foreign key constraints and cascading deletions across all 21 models via Prisma ORM, preventing orphaned records.</w:t>
            </w:r>
          </w:p>
        </w:tc>
      </w:tr>
      <w:tr>
        <w:tc>
          <w:tcPr>
            <w:tcW w:type="dxa" w:w="1440"/>
            <w:shd w:fill="f8fafc"/>
            <w:tcMar>
              <w:top w:w="50" w:type="dxa"/>
              <w:bottom w:w="50" w:type="dxa"/>
              <w:left w:w="60" w:type="dxa"/>
              <w:right w:w="60" w:type="dxa"/>
            </w:tcMar>
          </w:tcPr>
          <w:p>
            <w:pPr>
              <w:spacing w:line="276" w:lineRule="auto" w:after="0"/>
            </w:pPr>
            <w:r>
              <w:rPr>
                <w:rFonts w:ascii="Times New Roman" w:hAnsi="Times New Roman"/>
                <w:b/>
                <w:color w:val="1E3A8A"/>
                <w:sz w:val="18"/>
              </w:rPr>
              <w:t>NFR-06</w:t>
            </w:r>
          </w:p>
        </w:tc>
        <w:tc>
          <w:tcPr>
            <w:tcW w:type="dxa" w:w="3024"/>
            <w:shd w:fill="f8fafc"/>
            <w:tcMar>
              <w:top w:w="50" w:type="dxa"/>
              <w:bottom w:w="50" w:type="dxa"/>
              <w:left w:w="60" w:type="dxa"/>
              <w:right w:w="60" w:type="dxa"/>
            </w:tcMar>
          </w:tcPr>
          <w:p>
            <w:pPr>
              <w:spacing w:line="276" w:lineRule="auto" w:after="0"/>
            </w:pPr>
            <w:r>
              <w:rPr>
                <w:rFonts w:ascii="Times New Roman" w:hAnsi="Times New Roman"/>
                <w:b/>
                <w:color w:val="0F172A"/>
                <w:sz w:val="18"/>
              </w:rPr>
              <w:t>Responsive Usability &amp; Accessibility</w:t>
            </w:r>
          </w:p>
        </w:tc>
        <w:tc>
          <w:tcPr>
            <w:tcW w:type="dxa" w:w="4565"/>
            <w:shd w:fill="f8fafc"/>
            <w:tcMar>
              <w:top w:w="50" w:type="dxa"/>
              <w:bottom w:w="50" w:type="dxa"/>
              <w:left w:w="60" w:type="dxa"/>
              <w:right w:w="60" w:type="dxa"/>
            </w:tcMar>
          </w:tcPr>
          <w:p>
            <w:pPr>
              <w:spacing w:line="276" w:lineRule="auto" w:after="0"/>
            </w:pPr>
            <w:r>
              <w:rPr>
                <w:rFonts w:ascii="Times New Roman" w:hAnsi="Times New Roman"/>
                <w:sz w:val="18"/>
              </w:rPr>
              <w:t>The workbench UI must provide a responsive, intuitive interface adhering to WCAG 2.1 Level AA standards, supporting viewport widths from 1024px to 4K displays.</w:t>
            </w:r>
          </w:p>
        </w:tc>
      </w:tr>
      <w:tr>
        <w:tc>
          <w:tcPr>
            <w:tcW w:type="dxa" w:w="1440"/>
            <w:shd w:fill="ffffff"/>
            <w:tcMar>
              <w:top w:w="50" w:type="dxa"/>
              <w:bottom w:w="50" w:type="dxa"/>
              <w:left w:w="60" w:type="dxa"/>
              <w:right w:w="60" w:type="dxa"/>
            </w:tcMar>
          </w:tcPr>
          <w:p>
            <w:pPr>
              <w:spacing w:line="276" w:lineRule="auto" w:after="0"/>
            </w:pPr>
            <w:r>
              <w:rPr>
                <w:rFonts w:ascii="Times New Roman" w:hAnsi="Times New Roman"/>
                <w:b/>
                <w:color w:val="1E3A8A"/>
                <w:sz w:val="18"/>
              </w:rPr>
              <w:t>NFR-07</w:t>
            </w:r>
          </w:p>
        </w:tc>
        <w:tc>
          <w:tcPr>
            <w:tcW w:type="dxa" w:w="3024"/>
            <w:shd w:fill="ffffff"/>
            <w:tcMar>
              <w:top w:w="50" w:type="dxa"/>
              <w:bottom w:w="50" w:type="dxa"/>
              <w:left w:w="60" w:type="dxa"/>
              <w:right w:w="60" w:type="dxa"/>
            </w:tcMar>
          </w:tcPr>
          <w:p>
            <w:pPr>
              <w:spacing w:line="276" w:lineRule="auto" w:after="0"/>
            </w:pPr>
            <w:r>
              <w:rPr>
                <w:rFonts w:ascii="Times New Roman" w:hAnsi="Times New Roman"/>
                <w:b/>
                <w:color w:val="0F172A"/>
                <w:sz w:val="18"/>
              </w:rPr>
              <w:t>Test Coverage &amp; Maintainability</w:t>
            </w:r>
          </w:p>
        </w:tc>
        <w:tc>
          <w:tcPr>
            <w:tcW w:type="dxa" w:w="4565"/>
            <w:shd w:fill="ffffff"/>
            <w:tcMar>
              <w:top w:w="50" w:type="dxa"/>
              <w:bottom w:w="50" w:type="dxa"/>
              <w:left w:w="60" w:type="dxa"/>
              <w:right w:w="60" w:type="dxa"/>
            </w:tcMar>
          </w:tcPr>
          <w:p>
            <w:pPr>
              <w:spacing w:line="276" w:lineRule="auto" w:after="0"/>
            </w:pPr>
            <w:r>
              <w:rPr>
                <w:rFonts w:ascii="Times New Roman" w:hAnsi="Times New Roman"/>
                <w:sz w:val="18"/>
              </w:rPr>
              <w:t>All core services (auth, rbac, orchestrator, sandbox provider, task validator) must maintain automated unit/integration test coverage with 100% test pass rates in CI.</w:t>
            </w:r>
          </w:p>
        </w:tc>
      </w:tr>
      <w:tr>
        <w:tc>
          <w:tcPr>
            <w:tcW w:type="dxa" w:w="1440"/>
            <w:shd w:fill="f8fafc"/>
            <w:tcMar>
              <w:top w:w="50" w:type="dxa"/>
              <w:bottom w:w="50" w:type="dxa"/>
              <w:left w:w="60" w:type="dxa"/>
              <w:right w:w="60" w:type="dxa"/>
            </w:tcMar>
          </w:tcPr>
          <w:p>
            <w:pPr>
              <w:spacing w:line="276" w:lineRule="auto" w:after="0"/>
            </w:pPr>
            <w:r>
              <w:rPr>
                <w:rFonts w:ascii="Times New Roman" w:hAnsi="Times New Roman"/>
                <w:b/>
                <w:color w:val="1E3A8A"/>
                <w:sz w:val="18"/>
              </w:rPr>
              <w:t>NFR-08</w:t>
            </w:r>
          </w:p>
        </w:tc>
        <w:tc>
          <w:tcPr>
            <w:tcW w:type="dxa" w:w="3024"/>
            <w:shd w:fill="f8fafc"/>
            <w:tcMar>
              <w:top w:w="50" w:type="dxa"/>
              <w:bottom w:w="50" w:type="dxa"/>
              <w:left w:w="60" w:type="dxa"/>
              <w:right w:w="60" w:type="dxa"/>
            </w:tcMar>
          </w:tcPr>
          <w:p>
            <w:pPr>
              <w:spacing w:line="276" w:lineRule="auto" w:after="0"/>
            </w:pPr>
            <w:r>
              <w:rPr>
                <w:rFonts w:ascii="Times New Roman" w:hAnsi="Times New Roman"/>
                <w:b/>
                <w:color w:val="0F172A"/>
                <w:sz w:val="18"/>
              </w:rPr>
              <w:t>System Auditability &amp; Non-Repudiation</w:t>
            </w:r>
          </w:p>
        </w:tc>
        <w:tc>
          <w:tcPr>
            <w:tcW w:type="dxa" w:w="4565"/>
            <w:shd w:fill="f8fafc"/>
            <w:tcMar>
              <w:top w:w="50" w:type="dxa"/>
              <w:bottom w:w="50" w:type="dxa"/>
              <w:left w:w="60" w:type="dxa"/>
              <w:right w:w="60" w:type="dxa"/>
            </w:tcMar>
          </w:tcPr>
          <w:p>
            <w:pPr>
              <w:spacing w:line="276" w:lineRule="auto" w:after="0"/>
            </w:pPr>
            <w:r>
              <w:rPr>
                <w:rFonts w:ascii="Times New Roman" w:hAnsi="Times New Roman"/>
                <w:sz w:val="18"/>
              </w:rPr>
              <w:t>All submission records, evaluation rubrics, and portfolio dossiers must be linked to immutable user IDs, timestamps, and Git commit SHAs to guarantee non-repudiation.</w:t>
            </w:r>
          </w:p>
        </w:tc>
      </w:tr>
    </w:tbl>
    <w:p>
      <w:pPr>
        <w:spacing w:after="120"/>
      </w:pPr>
    </w:p>
    <w:p>
      <w:pPr>
        <w:keepNext/>
        <w:spacing w:before="280" w:after="100"/>
      </w:pPr>
      <w:r>
        <w:rPr>
          <w:rFonts w:ascii="Times New Roman" w:hAnsi="Times New Roman"/>
          <w:b/>
          <w:color w:val="1E3A8A"/>
          <w:sz w:val="28"/>
        </w:rPr>
        <w:t>3.5 Hardware and Software Specifications</w:t>
      </w:r>
    </w:p>
    <w:p>
      <w:pPr>
        <w:spacing w:line="360" w:lineRule="auto" w:after="120"/>
        <w:jc w:val="both"/>
      </w:pPr>
      <w:r>
        <w:rPr>
          <w:rFonts w:ascii="Times New Roman" w:hAnsi="Times New Roman"/>
          <w:sz w:val="24"/>
        </w:rPr>
        <w:t>To guarantee reproducible deployment across commodity development environments and production servers, Table 3.3 outlines the minimum and recommended system requirements:</w:t>
      </w:r>
    </w:p>
    <w:p>
      <w:pPr>
        <w:spacing w:before="160" w:after="40"/>
        <w:jc w:val="center"/>
      </w:pPr>
      <w:r>
        <w:rPr>
          <w:rFonts w:ascii="Times New Roman" w:hAnsi="Times New Roman"/>
          <w:b/>
          <w:i/>
          <w:color w:val="1E3A8A"/>
          <w:sz w:val="20"/>
        </w:rPr>
        <w:t>Table 3.3: Hardware and Software Environment Specifications.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1440"/>
            <w:shd w:fill="1e3a8a"/>
            <w:tcMar>
              <w:top w:w="70" w:type="dxa"/>
              <w:bottom w:w="70" w:type="dxa"/>
              <w:left w:w="70" w:type="dxa"/>
              <w:right w:w="70" w:type="dxa"/>
            </w:tcMar>
          </w:tcPr>
          <w:p>
            <w:pPr>
              <w:spacing w:after="0"/>
              <w:jc w:val="center"/>
            </w:pPr>
            <w:r>
              <w:rPr>
                <w:rFonts w:ascii="Times New Roman" w:hAnsi="Times New Roman"/>
                <w:b/>
                <w:color w:val="FFFFFF"/>
                <w:sz w:val="19"/>
              </w:rPr>
              <w:t>System Component</w:t>
            </w:r>
          </w:p>
        </w:tc>
        <w:tc>
          <w:tcPr>
            <w:tcW w:type="dxa" w:w="3024"/>
            <w:shd w:fill="1e3a8a"/>
            <w:tcMar>
              <w:top w:w="70" w:type="dxa"/>
              <w:bottom w:w="70" w:type="dxa"/>
              <w:left w:w="70" w:type="dxa"/>
              <w:right w:w="70" w:type="dxa"/>
            </w:tcMar>
          </w:tcPr>
          <w:p>
            <w:pPr>
              <w:spacing w:after="0"/>
              <w:jc w:val="center"/>
            </w:pPr>
            <w:r>
              <w:rPr>
                <w:rFonts w:ascii="Times New Roman" w:hAnsi="Times New Roman"/>
                <w:b/>
                <w:color w:val="FFFFFF"/>
                <w:sz w:val="19"/>
              </w:rPr>
              <w:t>Minimum Required Specification</w:t>
            </w:r>
          </w:p>
        </w:tc>
        <w:tc>
          <w:tcPr>
            <w:tcW w:type="dxa" w:w="4565"/>
            <w:shd w:fill="1e3a8a"/>
            <w:tcMar>
              <w:top w:w="70" w:type="dxa"/>
              <w:bottom w:w="70" w:type="dxa"/>
              <w:left w:w="70" w:type="dxa"/>
              <w:right w:w="70" w:type="dxa"/>
            </w:tcMar>
          </w:tcPr>
          <w:p>
            <w:pPr>
              <w:spacing w:after="0"/>
              <w:jc w:val="center"/>
            </w:pPr>
            <w:r>
              <w:rPr>
                <w:rFonts w:ascii="Times New Roman" w:hAnsi="Times New Roman"/>
                <w:b/>
                <w:color w:val="FFFFFF"/>
                <w:sz w:val="19"/>
              </w:rPr>
              <w:t>Recommended Production Specification</w:t>
            </w:r>
          </w:p>
        </w:tc>
      </w:tr>
      <w:tr>
        <w:tc>
          <w:tcPr>
            <w:tcW w:type="dxa" w:w="1440"/>
            <w:shd w:fill="ffffff"/>
            <w:tcMar>
              <w:top w:w="50" w:type="dxa"/>
              <w:bottom w:w="50" w:type="dxa"/>
              <w:left w:w="60" w:type="dxa"/>
              <w:right w:w="60" w:type="dxa"/>
            </w:tcMar>
          </w:tcPr>
          <w:p>
            <w:pPr>
              <w:spacing w:line="276" w:lineRule="auto" w:after="0"/>
            </w:pPr>
            <w:r>
              <w:rPr>
                <w:rFonts w:ascii="Times New Roman" w:hAnsi="Times New Roman"/>
                <w:b/>
                <w:color w:val="0F172A"/>
                <w:sz w:val="18"/>
              </w:rPr>
              <w:t>Host Processor (CPU)</w:t>
            </w:r>
          </w:p>
        </w:tc>
        <w:tc>
          <w:tcPr>
            <w:tcW w:type="dxa" w:w="3024"/>
            <w:shd w:fill="ffffff"/>
            <w:tcMar>
              <w:top w:w="50" w:type="dxa"/>
              <w:bottom w:w="50" w:type="dxa"/>
              <w:left w:w="60" w:type="dxa"/>
              <w:right w:w="60" w:type="dxa"/>
            </w:tcMar>
          </w:tcPr>
          <w:p>
            <w:pPr>
              <w:spacing w:line="276" w:lineRule="auto" w:after="0"/>
            </w:pPr>
            <w:r>
              <w:rPr>
                <w:rFonts w:ascii="Times New Roman" w:hAnsi="Times New Roman"/>
                <w:sz w:val="18"/>
              </w:rPr>
              <w:t>Intel Core i5 / AMD Ryzen 5 (4 cores, 2.4 GHz)</w:t>
            </w:r>
          </w:p>
        </w:tc>
        <w:tc>
          <w:tcPr>
            <w:tcW w:type="dxa" w:w="4565"/>
            <w:shd w:fill="ffffff"/>
            <w:tcMar>
              <w:top w:w="50" w:type="dxa"/>
              <w:bottom w:w="50" w:type="dxa"/>
              <w:left w:w="60" w:type="dxa"/>
              <w:right w:w="60" w:type="dxa"/>
            </w:tcMar>
          </w:tcPr>
          <w:p>
            <w:pPr>
              <w:spacing w:line="276" w:lineRule="auto" w:after="0"/>
            </w:pPr>
            <w:r>
              <w:rPr>
                <w:rFonts w:ascii="Times New Roman" w:hAnsi="Times New Roman"/>
                <w:sz w:val="18"/>
              </w:rPr>
              <w:t>Intel Core i7 / AMD Ryzen 7 (8 cores, 3.6 GHz)</w:t>
            </w:r>
          </w:p>
        </w:tc>
      </w:tr>
      <w:tr>
        <w:tc>
          <w:tcPr>
            <w:tcW w:type="dxa" w:w="1440"/>
            <w:shd w:fill="f8fafc"/>
            <w:tcMar>
              <w:top w:w="50" w:type="dxa"/>
              <w:bottom w:w="50" w:type="dxa"/>
              <w:left w:w="60" w:type="dxa"/>
              <w:right w:w="60" w:type="dxa"/>
            </w:tcMar>
          </w:tcPr>
          <w:p>
            <w:pPr>
              <w:spacing w:line="276" w:lineRule="auto" w:after="0"/>
            </w:pPr>
            <w:r>
              <w:rPr>
                <w:rFonts w:ascii="Times New Roman" w:hAnsi="Times New Roman"/>
                <w:b/>
                <w:color w:val="0F172A"/>
                <w:sz w:val="18"/>
              </w:rPr>
              <w:t>System Memory (RAM)</w:t>
            </w:r>
          </w:p>
        </w:tc>
        <w:tc>
          <w:tcPr>
            <w:tcW w:type="dxa" w:w="3024"/>
            <w:shd w:fill="f8fafc"/>
            <w:tcMar>
              <w:top w:w="50" w:type="dxa"/>
              <w:bottom w:w="50" w:type="dxa"/>
              <w:left w:w="60" w:type="dxa"/>
              <w:right w:w="60" w:type="dxa"/>
            </w:tcMar>
          </w:tcPr>
          <w:p>
            <w:pPr>
              <w:spacing w:line="276" w:lineRule="auto" w:after="0"/>
            </w:pPr>
            <w:r>
              <w:rPr>
                <w:rFonts w:ascii="Times New Roman" w:hAnsi="Times New Roman"/>
                <w:sz w:val="18"/>
              </w:rPr>
              <w:t>8 GB DDR4 RAM</w:t>
            </w:r>
          </w:p>
        </w:tc>
        <w:tc>
          <w:tcPr>
            <w:tcW w:type="dxa" w:w="4565"/>
            <w:shd w:fill="f8fafc"/>
            <w:tcMar>
              <w:top w:w="50" w:type="dxa"/>
              <w:bottom w:w="50" w:type="dxa"/>
              <w:left w:w="60" w:type="dxa"/>
              <w:right w:w="60" w:type="dxa"/>
            </w:tcMar>
          </w:tcPr>
          <w:p>
            <w:pPr>
              <w:spacing w:line="276" w:lineRule="auto" w:after="0"/>
            </w:pPr>
            <w:r>
              <w:rPr>
                <w:rFonts w:ascii="Times New Roman" w:hAnsi="Times New Roman"/>
                <w:sz w:val="18"/>
              </w:rPr>
              <w:t>16 GB or 32 GB DDR4/DDR5 RAM</w:t>
            </w:r>
          </w:p>
        </w:tc>
      </w:tr>
      <w:tr>
        <w:tc>
          <w:tcPr>
            <w:tcW w:type="dxa" w:w="1440"/>
            <w:shd w:fill="ffffff"/>
            <w:tcMar>
              <w:top w:w="50" w:type="dxa"/>
              <w:bottom w:w="50" w:type="dxa"/>
              <w:left w:w="60" w:type="dxa"/>
              <w:right w:w="60" w:type="dxa"/>
            </w:tcMar>
          </w:tcPr>
          <w:p>
            <w:pPr>
              <w:spacing w:line="276" w:lineRule="auto" w:after="0"/>
            </w:pPr>
            <w:r>
              <w:rPr>
                <w:rFonts w:ascii="Times New Roman" w:hAnsi="Times New Roman"/>
                <w:b/>
                <w:color w:val="0F172A"/>
                <w:sz w:val="18"/>
              </w:rPr>
              <w:t>Storage Capacity</w:t>
            </w:r>
          </w:p>
        </w:tc>
        <w:tc>
          <w:tcPr>
            <w:tcW w:type="dxa" w:w="3024"/>
            <w:shd w:fill="ffffff"/>
            <w:tcMar>
              <w:top w:w="50" w:type="dxa"/>
              <w:bottom w:w="50" w:type="dxa"/>
              <w:left w:w="60" w:type="dxa"/>
              <w:right w:w="60" w:type="dxa"/>
            </w:tcMar>
          </w:tcPr>
          <w:p>
            <w:pPr>
              <w:spacing w:line="276" w:lineRule="auto" w:after="0"/>
            </w:pPr>
            <w:r>
              <w:rPr>
                <w:rFonts w:ascii="Times New Roman" w:hAnsi="Times New Roman"/>
                <w:sz w:val="18"/>
              </w:rPr>
              <w:t>20 GB available SSD storage</w:t>
            </w:r>
          </w:p>
        </w:tc>
        <w:tc>
          <w:tcPr>
            <w:tcW w:type="dxa" w:w="4565"/>
            <w:shd w:fill="ffffff"/>
            <w:tcMar>
              <w:top w:w="50" w:type="dxa"/>
              <w:bottom w:w="50" w:type="dxa"/>
              <w:left w:w="60" w:type="dxa"/>
              <w:right w:w="60" w:type="dxa"/>
            </w:tcMar>
          </w:tcPr>
          <w:p>
            <w:pPr>
              <w:spacing w:line="276" w:lineRule="auto" w:after="0"/>
            </w:pPr>
            <w:r>
              <w:rPr>
                <w:rFonts w:ascii="Times New Roman" w:hAnsi="Times New Roman"/>
                <w:sz w:val="18"/>
              </w:rPr>
              <w:t>50 GB NVMe M.2 SSD storage</w:t>
            </w:r>
          </w:p>
        </w:tc>
      </w:tr>
      <w:tr>
        <w:tc>
          <w:tcPr>
            <w:tcW w:type="dxa" w:w="1440"/>
            <w:shd w:fill="f8fafc"/>
            <w:tcMar>
              <w:top w:w="50" w:type="dxa"/>
              <w:bottom w:w="50" w:type="dxa"/>
              <w:left w:w="60" w:type="dxa"/>
              <w:right w:w="60" w:type="dxa"/>
            </w:tcMar>
          </w:tcPr>
          <w:p>
            <w:pPr>
              <w:spacing w:line="276" w:lineRule="auto" w:after="0"/>
            </w:pPr>
            <w:r>
              <w:rPr>
                <w:rFonts w:ascii="Times New Roman" w:hAnsi="Times New Roman"/>
                <w:b/>
                <w:color w:val="0F172A"/>
                <w:sz w:val="18"/>
              </w:rPr>
              <w:t>Host Operating System</w:t>
            </w:r>
          </w:p>
        </w:tc>
        <w:tc>
          <w:tcPr>
            <w:tcW w:type="dxa" w:w="3024"/>
            <w:shd w:fill="f8fafc"/>
            <w:tcMar>
              <w:top w:w="50" w:type="dxa"/>
              <w:bottom w:w="50" w:type="dxa"/>
              <w:left w:w="60" w:type="dxa"/>
              <w:right w:w="60" w:type="dxa"/>
            </w:tcMar>
          </w:tcPr>
          <w:p>
            <w:pPr>
              <w:spacing w:line="276" w:lineRule="auto" w:after="0"/>
            </w:pPr>
            <w:r>
              <w:rPr>
                <w:rFonts w:ascii="Times New Roman" w:hAnsi="Times New Roman"/>
                <w:sz w:val="18"/>
              </w:rPr>
              <w:t>Windows 10/11 (64-bit), Ubuntu 20.04+, macOS 12+</w:t>
            </w:r>
          </w:p>
        </w:tc>
        <w:tc>
          <w:tcPr>
            <w:tcW w:type="dxa" w:w="4565"/>
            <w:shd w:fill="f8fafc"/>
            <w:tcMar>
              <w:top w:w="50" w:type="dxa"/>
              <w:bottom w:w="50" w:type="dxa"/>
              <w:left w:w="60" w:type="dxa"/>
              <w:right w:w="60" w:type="dxa"/>
            </w:tcMar>
          </w:tcPr>
          <w:p>
            <w:pPr>
              <w:spacing w:line="276" w:lineRule="auto" w:after="0"/>
            </w:pPr>
            <w:r>
              <w:rPr>
                <w:rFonts w:ascii="Times New Roman" w:hAnsi="Times New Roman"/>
                <w:sz w:val="18"/>
              </w:rPr>
              <w:t>Ubuntu 22.04 LTS / Debian 12 (Linux Server)</w:t>
            </w:r>
          </w:p>
        </w:tc>
      </w:tr>
      <w:tr>
        <w:tc>
          <w:tcPr>
            <w:tcW w:type="dxa" w:w="1440"/>
            <w:shd w:fill="ffffff"/>
            <w:tcMar>
              <w:top w:w="50" w:type="dxa"/>
              <w:bottom w:w="50" w:type="dxa"/>
              <w:left w:w="60" w:type="dxa"/>
              <w:right w:w="60" w:type="dxa"/>
            </w:tcMar>
          </w:tcPr>
          <w:p>
            <w:pPr>
              <w:spacing w:line="276" w:lineRule="auto" w:after="0"/>
            </w:pPr>
            <w:r>
              <w:rPr>
                <w:rFonts w:ascii="Times New Roman" w:hAnsi="Times New Roman"/>
                <w:b/>
                <w:color w:val="0F172A"/>
                <w:sz w:val="18"/>
              </w:rPr>
              <w:t>JavaScript Runtime</w:t>
            </w:r>
          </w:p>
        </w:tc>
        <w:tc>
          <w:tcPr>
            <w:tcW w:type="dxa" w:w="3024"/>
            <w:shd w:fill="ffffff"/>
            <w:tcMar>
              <w:top w:w="50" w:type="dxa"/>
              <w:bottom w:w="50" w:type="dxa"/>
              <w:left w:w="60" w:type="dxa"/>
              <w:right w:w="60" w:type="dxa"/>
            </w:tcMar>
          </w:tcPr>
          <w:p>
            <w:pPr>
              <w:spacing w:line="276" w:lineRule="auto" w:after="0"/>
            </w:pPr>
            <w:r>
              <w:rPr>
                <w:rFonts w:ascii="Times New Roman" w:hAnsi="Times New Roman"/>
                <w:sz w:val="18"/>
              </w:rPr>
              <w:t>Node.js v18.18.0 LTS (Active)</w:t>
            </w:r>
          </w:p>
        </w:tc>
        <w:tc>
          <w:tcPr>
            <w:tcW w:type="dxa" w:w="4565"/>
            <w:shd w:fill="ffffff"/>
            <w:tcMar>
              <w:top w:w="50" w:type="dxa"/>
              <w:bottom w:w="50" w:type="dxa"/>
              <w:left w:w="60" w:type="dxa"/>
              <w:right w:w="60" w:type="dxa"/>
            </w:tcMar>
          </w:tcPr>
          <w:p>
            <w:pPr>
              <w:spacing w:line="276" w:lineRule="auto" w:after="0"/>
            </w:pPr>
            <w:r>
              <w:rPr>
                <w:rFonts w:ascii="Times New Roman" w:hAnsi="Times New Roman"/>
                <w:sz w:val="18"/>
              </w:rPr>
              <w:t>Node.js v20.10.0+ LTS / v22.x</w:t>
            </w:r>
          </w:p>
        </w:tc>
      </w:tr>
      <w:tr>
        <w:tc>
          <w:tcPr>
            <w:tcW w:type="dxa" w:w="1440"/>
            <w:shd w:fill="f8fafc"/>
            <w:tcMar>
              <w:top w:w="50" w:type="dxa"/>
              <w:bottom w:w="50" w:type="dxa"/>
              <w:left w:w="60" w:type="dxa"/>
              <w:right w:w="60" w:type="dxa"/>
            </w:tcMar>
          </w:tcPr>
          <w:p>
            <w:pPr>
              <w:spacing w:line="276" w:lineRule="auto" w:after="0"/>
            </w:pPr>
            <w:r>
              <w:rPr>
                <w:rFonts w:ascii="Times New Roman" w:hAnsi="Times New Roman"/>
                <w:b/>
                <w:color w:val="0F172A"/>
                <w:sz w:val="18"/>
              </w:rPr>
              <w:t>Package Management</w:t>
            </w:r>
          </w:p>
        </w:tc>
        <w:tc>
          <w:tcPr>
            <w:tcW w:type="dxa" w:w="3024"/>
            <w:shd w:fill="f8fafc"/>
            <w:tcMar>
              <w:top w:w="50" w:type="dxa"/>
              <w:bottom w:w="50" w:type="dxa"/>
              <w:left w:w="60" w:type="dxa"/>
              <w:right w:w="60" w:type="dxa"/>
            </w:tcMar>
          </w:tcPr>
          <w:p>
            <w:pPr>
              <w:spacing w:line="276" w:lineRule="auto" w:after="0"/>
            </w:pPr>
            <w:r>
              <w:rPr>
                <w:rFonts w:ascii="Times New Roman" w:hAnsi="Times New Roman"/>
                <w:sz w:val="18"/>
              </w:rPr>
              <w:t>npm v9.x or v10.x</w:t>
            </w:r>
          </w:p>
        </w:tc>
        <w:tc>
          <w:tcPr>
            <w:tcW w:type="dxa" w:w="4565"/>
            <w:shd w:fill="f8fafc"/>
            <w:tcMar>
              <w:top w:w="50" w:type="dxa"/>
              <w:bottom w:w="50" w:type="dxa"/>
              <w:left w:w="60" w:type="dxa"/>
              <w:right w:w="60" w:type="dxa"/>
            </w:tcMar>
          </w:tcPr>
          <w:p>
            <w:pPr>
              <w:spacing w:line="276" w:lineRule="auto" w:after="0"/>
            </w:pPr>
            <w:r>
              <w:rPr>
                <w:rFonts w:ascii="Times New Roman" w:hAnsi="Times New Roman"/>
                <w:sz w:val="18"/>
              </w:rPr>
              <w:t>npm v10.x / pnpm / yarn</w:t>
            </w:r>
          </w:p>
        </w:tc>
      </w:tr>
      <w:tr>
        <w:tc>
          <w:tcPr>
            <w:tcW w:type="dxa" w:w="1440"/>
            <w:shd w:fill="ffffff"/>
            <w:tcMar>
              <w:top w:w="50" w:type="dxa"/>
              <w:bottom w:w="50" w:type="dxa"/>
              <w:left w:w="60" w:type="dxa"/>
              <w:right w:w="60" w:type="dxa"/>
            </w:tcMar>
          </w:tcPr>
          <w:p>
            <w:pPr>
              <w:spacing w:line="276" w:lineRule="auto" w:after="0"/>
            </w:pPr>
            <w:r>
              <w:rPr>
                <w:rFonts w:ascii="Times New Roman" w:hAnsi="Times New Roman"/>
                <w:b/>
                <w:color w:val="0F172A"/>
                <w:sz w:val="18"/>
              </w:rPr>
              <w:t>Database Engine</w:t>
            </w:r>
          </w:p>
        </w:tc>
        <w:tc>
          <w:tcPr>
            <w:tcW w:type="dxa" w:w="3024"/>
            <w:shd w:fill="ffffff"/>
            <w:tcMar>
              <w:top w:w="50" w:type="dxa"/>
              <w:bottom w:w="50" w:type="dxa"/>
              <w:left w:w="60" w:type="dxa"/>
              <w:right w:w="60" w:type="dxa"/>
            </w:tcMar>
          </w:tcPr>
          <w:p>
            <w:pPr>
              <w:spacing w:line="276" w:lineRule="auto" w:after="0"/>
            </w:pPr>
            <w:r>
              <w:rPr>
                <w:rFonts w:ascii="Times New Roman" w:hAnsi="Times New Roman"/>
                <w:sz w:val="18"/>
              </w:rPr>
              <w:t>SQLite 3.x (Zero-config local file dev.db)</w:t>
            </w:r>
          </w:p>
        </w:tc>
        <w:tc>
          <w:tcPr>
            <w:tcW w:type="dxa" w:w="4565"/>
            <w:shd w:fill="ffffff"/>
            <w:tcMar>
              <w:top w:w="50" w:type="dxa"/>
              <w:bottom w:w="50" w:type="dxa"/>
              <w:left w:w="60" w:type="dxa"/>
              <w:right w:w="60" w:type="dxa"/>
            </w:tcMar>
          </w:tcPr>
          <w:p>
            <w:pPr>
              <w:spacing w:line="276" w:lineRule="auto" w:after="0"/>
            </w:pPr>
            <w:r>
              <w:rPr>
                <w:rFonts w:ascii="Times New Roman" w:hAnsi="Times New Roman"/>
                <w:sz w:val="18"/>
              </w:rPr>
              <w:t>PostgreSQL 15.x / 16.x (AWS RDS / Supabase)</w:t>
            </w:r>
          </w:p>
        </w:tc>
      </w:tr>
      <w:tr>
        <w:tc>
          <w:tcPr>
            <w:tcW w:type="dxa" w:w="1440"/>
            <w:shd w:fill="f8fafc"/>
            <w:tcMar>
              <w:top w:w="50" w:type="dxa"/>
              <w:bottom w:w="50" w:type="dxa"/>
              <w:left w:w="60" w:type="dxa"/>
              <w:right w:w="60" w:type="dxa"/>
            </w:tcMar>
          </w:tcPr>
          <w:p>
            <w:pPr>
              <w:spacing w:line="276" w:lineRule="auto" w:after="0"/>
            </w:pPr>
            <w:r>
              <w:rPr>
                <w:rFonts w:ascii="Times New Roman" w:hAnsi="Times New Roman"/>
                <w:b/>
                <w:color w:val="0F172A"/>
                <w:sz w:val="18"/>
              </w:rPr>
              <w:t>Target Client Browser</w:t>
            </w:r>
          </w:p>
        </w:tc>
        <w:tc>
          <w:tcPr>
            <w:tcW w:type="dxa" w:w="3024"/>
            <w:shd w:fill="f8fafc"/>
            <w:tcMar>
              <w:top w:w="50" w:type="dxa"/>
              <w:bottom w:w="50" w:type="dxa"/>
              <w:left w:w="60" w:type="dxa"/>
              <w:right w:w="60" w:type="dxa"/>
            </w:tcMar>
          </w:tcPr>
          <w:p>
            <w:pPr>
              <w:spacing w:line="276" w:lineRule="auto" w:after="0"/>
            </w:pPr>
            <w:r>
              <w:rPr>
                <w:rFonts w:ascii="Times New Roman" w:hAnsi="Times New Roman"/>
                <w:sz w:val="18"/>
              </w:rPr>
              <w:t>Google Chrome 115+, Mozilla Firefox 115+</w:t>
            </w:r>
          </w:p>
        </w:tc>
        <w:tc>
          <w:tcPr>
            <w:tcW w:type="dxa" w:w="4565"/>
            <w:shd w:fill="f8fafc"/>
            <w:tcMar>
              <w:top w:w="50" w:type="dxa"/>
              <w:bottom w:w="50" w:type="dxa"/>
              <w:left w:w="60" w:type="dxa"/>
              <w:right w:w="60" w:type="dxa"/>
            </w:tcMar>
          </w:tcPr>
          <w:p>
            <w:pPr>
              <w:spacing w:line="276" w:lineRule="auto" w:after="0"/>
            </w:pPr>
            <w:r>
              <w:rPr>
                <w:rFonts w:ascii="Times New Roman" w:hAnsi="Times New Roman"/>
                <w:sz w:val="18"/>
              </w:rPr>
              <w:t>Google Chrome 120+, Edge 120+, Safari 17+</w:t>
            </w:r>
          </w:p>
        </w:tc>
      </w:tr>
    </w:tbl>
    <w:p>
      <w:pPr>
        <w:spacing w:after="120"/>
      </w:pPr>
    </w:p>
    <w:p>
      <w:pPr>
        <w:keepNext/>
        <w:spacing w:before="280" w:after="100"/>
      </w:pPr>
      <w:r>
        <w:rPr>
          <w:rFonts w:ascii="Times New Roman" w:hAnsi="Times New Roman"/>
          <w:b/>
          <w:color w:val="1E3A8A"/>
          <w:sz w:val="28"/>
        </w:rPr>
        <w:t>3.6 Technology Stack and Justification</w:t>
      </w:r>
    </w:p>
    <w:p>
      <w:pPr>
        <w:spacing w:line="360" w:lineRule="auto" w:after="120"/>
        <w:jc w:val="both"/>
      </w:pPr>
      <w:r>
        <w:rPr>
          <w:rFonts w:ascii="Times New Roman" w:hAnsi="Times New Roman"/>
          <w:sz w:val="24"/>
        </w:rPr>
        <w:t>The technology stack selected for WORKUP prioritizes end-to-end type safety, rapid iteration, zero-dependency local execution, and a transparent migration pathway to cloud infrastructure. Table 3.4 outlines each chosen technology alongside its architectural justification:</w:t>
      </w:r>
    </w:p>
    <w:p>
      <w:pPr>
        <w:spacing w:before="160" w:after="40"/>
        <w:jc w:val="center"/>
      </w:pPr>
      <w:r>
        <w:rPr>
          <w:rFonts w:ascii="Times New Roman" w:hAnsi="Times New Roman"/>
          <w:b/>
          <w:i/>
          <w:color w:val="1E3A8A"/>
          <w:sz w:val="20"/>
        </w:rPr>
        <w:t>Table 3.4: Technology Stack Components and Engineering Justification Matrix.</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1440"/>
            <w:shd w:fill="1e3a8a"/>
            <w:tcMar>
              <w:top w:w="70" w:type="dxa"/>
              <w:bottom w:w="70" w:type="dxa"/>
              <w:left w:w="70" w:type="dxa"/>
              <w:right w:w="70" w:type="dxa"/>
            </w:tcMar>
          </w:tcPr>
          <w:p>
            <w:pPr>
              <w:spacing w:after="0"/>
              <w:jc w:val="center"/>
            </w:pPr>
            <w:r>
              <w:rPr>
                <w:rFonts w:ascii="Times New Roman" w:hAnsi="Times New Roman"/>
                <w:b/>
                <w:color w:val="FFFFFF"/>
                <w:sz w:val="19"/>
              </w:rPr>
              <w:t>Technology Component</w:t>
            </w:r>
          </w:p>
        </w:tc>
        <w:tc>
          <w:tcPr>
            <w:tcW w:type="dxa" w:w="3024"/>
            <w:shd w:fill="1e3a8a"/>
            <w:tcMar>
              <w:top w:w="70" w:type="dxa"/>
              <w:bottom w:w="70" w:type="dxa"/>
              <w:left w:w="70" w:type="dxa"/>
              <w:right w:w="70" w:type="dxa"/>
            </w:tcMar>
          </w:tcPr>
          <w:p>
            <w:pPr>
              <w:spacing w:after="0"/>
              <w:jc w:val="center"/>
            </w:pPr>
            <w:r>
              <w:rPr>
                <w:rFonts w:ascii="Times New Roman" w:hAnsi="Times New Roman"/>
                <w:b/>
                <w:color w:val="FFFFFF"/>
                <w:sz w:val="19"/>
              </w:rPr>
              <w:t>Architecture Tier</w:t>
            </w:r>
          </w:p>
        </w:tc>
        <w:tc>
          <w:tcPr>
            <w:tcW w:type="dxa" w:w="4565"/>
            <w:shd w:fill="1e3a8a"/>
            <w:tcMar>
              <w:top w:w="70" w:type="dxa"/>
              <w:bottom w:w="70" w:type="dxa"/>
              <w:left w:w="70" w:type="dxa"/>
              <w:right w:w="70" w:type="dxa"/>
            </w:tcMar>
          </w:tcPr>
          <w:p>
            <w:pPr>
              <w:spacing w:after="0"/>
              <w:jc w:val="center"/>
            </w:pPr>
            <w:r>
              <w:rPr>
                <w:rFonts w:ascii="Times New Roman" w:hAnsi="Times New Roman"/>
                <w:b/>
                <w:color w:val="FFFFFF"/>
                <w:sz w:val="19"/>
              </w:rPr>
              <w:t>Engineering Selection Rationale</w:t>
            </w:r>
          </w:p>
        </w:tc>
      </w:tr>
      <w:tr>
        <w:tc>
          <w:tcPr>
            <w:tcW w:type="dxa" w:w="1440"/>
            <w:shd w:fill="ffffff"/>
            <w:tcMar>
              <w:top w:w="50" w:type="dxa"/>
              <w:bottom w:w="50" w:type="dxa"/>
              <w:left w:w="60" w:type="dxa"/>
              <w:right w:w="60" w:type="dxa"/>
            </w:tcMar>
          </w:tcPr>
          <w:p>
            <w:pPr>
              <w:spacing w:line="276" w:lineRule="auto" w:after="0"/>
            </w:pPr>
            <w:r>
              <w:rPr>
                <w:rFonts w:ascii="Times New Roman" w:hAnsi="Times New Roman"/>
                <w:b/>
                <w:color w:val="1E3A8A"/>
                <w:sz w:val="18"/>
              </w:rPr>
              <w:t>Next.js 14 App Router</w:t>
            </w:r>
          </w:p>
        </w:tc>
        <w:tc>
          <w:tcPr>
            <w:tcW w:type="dxa" w:w="3024"/>
            <w:shd w:fill="ffffff"/>
            <w:tcMar>
              <w:top w:w="50" w:type="dxa"/>
              <w:bottom w:w="50" w:type="dxa"/>
              <w:left w:w="60" w:type="dxa"/>
              <w:right w:w="60" w:type="dxa"/>
            </w:tcMar>
          </w:tcPr>
          <w:p>
            <w:pPr>
              <w:spacing w:line="276" w:lineRule="auto" w:after="0"/>
            </w:pPr>
            <w:r>
              <w:rPr>
                <w:rFonts w:ascii="Times New Roman" w:hAnsi="Times New Roman"/>
                <w:b/>
                <w:color w:val="0F172A"/>
                <w:sz w:val="18"/>
              </w:rPr>
              <w:t>Frontend &amp; Full-Stack Server</w:t>
            </w:r>
          </w:p>
        </w:tc>
        <w:tc>
          <w:tcPr>
            <w:tcW w:type="dxa" w:w="4565"/>
            <w:shd w:fill="ffffff"/>
            <w:tcMar>
              <w:top w:w="50" w:type="dxa"/>
              <w:bottom w:w="50" w:type="dxa"/>
              <w:left w:w="60" w:type="dxa"/>
              <w:right w:w="60" w:type="dxa"/>
            </w:tcMar>
          </w:tcPr>
          <w:p>
            <w:pPr>
              <w:spacing w:line="276" w:lineRule="auto" w:after="0"/>
            </w:pPr>
            <w:r>
              <w:rPr>
                <w:rFonts w:ascii="Times New Roman" w:hAnsi="Times New Roman"/>
                <w:sz w:val="18"/>
              </w:rPr>
              <w:t>Provides unified Server Components (RSC) and Client Components with built-in API Route Handlers. Eliminates the complexity of maintaining separate frontend and backend repositories while delivering high-speed server rendering.</w:t>
            </w:r>
          </w:p>
        </w:tc>
      </w:tr>
      <w:tr>
        <w:tc>
          <w:tcPr>
            <w:tcW w:type="dxa" w:w="1440"/>
            <w:shd w:fill="f8fafc"/>
            <w:tcMar>
              <w:top w:w="50" w:type="dxa"/>
              <w:bottom w:w="50" w:type="dxa"/>
              <w:left w:w="60" w:type="dxa"/>
              <w:right w:w="60" w:type="dxa"/>
            </w:tcMar>
          </w:tcPr>
          <w:p>
            <w:pPr>
              <w:spacing w:line="276" w:lineRule="auto" w:after="0"/>
            </w:pPr>
            <w:r>
              <w:rPr>
                <w:rFonts w:ascii="Times New Roman" w:hAnsi="Times New Roman"/>
                <w:b/>
                <w:color w:val="1E3A8A"/>
                <w:sz w:val="18"/>
              </w:rPr>
              <w:t>TypeScript 5.x</w:t>
            </w:r>
          </w:p>
        </w:tc>
        <w:tc>
          <w:tcPr>
            <w:tcW w:type="dxa" w:w="3024"/>
            <w:shd w:fill="f8fafc"/>
            <w:tcMar>
              <w:top w:w="50" w:type="dxa"/>
              <w:bottom w:w="50" w:type="dxa"/>
              <w:left w:w="60" w:type="dxa"/>
              <w:right w:w="60" w:type="dxa"/>
            </w:tcMar>
          </w:tcPr>
          <w:p>
            <w:pPr>
              <w:spacing w:line="276" w:lineRule="auto" w:after="0"/>
            </w:pPr>
            <w:r>
              <w:rPr>
                <w:rFonts w:ascii="Times New Roman" w:hAnsi="Times New Roman"/>
                <w:b/>
                <w:color w:val="0F172A"/>
                <w:sz w:val="18"/>
              </w:rPr>
              <w:t>Type Safety &amp; Domain Modeling</w:t>
            </w:r>
          </w:p>
        </w:tc>
        <w:tc>
          <w:tcPr>
            <w:tcW w:type="dxa" w:w="4565"/>
            <w:shd w:fill="f8fafc"/>
            <w:tcMar>
              <w:top w:w="50" w:type="dxa"/>
              <w:bottom w:w="50" w:type="dxa"/>
              <w:left w:w="60" w:type="dxa"/>
              <w:right w:w="60" w:type="dxa"/>
            </w:tcMar>
          </w:tcPr>
          <w:p>
            <w:pPr>
              <w:spacing w:line="276" w:lineRule="auto" w:after="0"/>
            </w:pPr>
            <w:r>
              <w:rPr>
                <w:rFonts w:ascii="Times New Roman" w:hAnsi="Times New Roman"/>
                <w:sz w:val="18"/>
              </w:rPr>
              <w:t>Guarantees end-to-end compile-time type verification across database queries, API request payloads, and UI component state. Dramatically reduces runtime type exceptions.</w:t>
            </w:r>
          </w:p>
        </w:tc>
      </w:tr>
      <w:tr>
        <w:tc>
          <w:tcPr>
            <w:tcW w:type="dxa" w:w="1440"/>
            <w:shd w:fill="ffffff"/>
            <w:tcMar>
              <w:top w:w="50" w:type="dxa"/>
              <w:bottom w:w="50" w:type="dxa"/>
              <w:left w:w="60" w:type="dxa"/>
              <w:right w:w="60" w:type="dxa"/>
            </w:tcMar>
          </w:tcPr>
          <w:p>
            <w:pPr>
              <w:spacing w:line="276" w:lineRule="auto" w:after="0"/>
            </w:pPr>
            <w:r>
              <w:rPr>
                <w:rFonts w:ascii="Times New Roman" w:hAnsi="Times New Roman"/>
                <w:b/>
                <w:color w:val="1E3A8A"/>
                <w:sz w:val="18"/>
              </w:rPr>
              <w:t>Tailwind CSS</w:t>
            </w:r>
          </w:p>
        </w:tc>
        <w:tc>
          <w:tcPr>
            <w:tcW w:type="dxa" w:w="3024"/>
            <w:shd w:fill="ffffff"/>
            <w:tcMar>
              <w:top w:w="50" w:type="dxa"/>
              <w:bottom w:w="50" w:type="dxa"/>
              <w:left w:w="60" w:type="dxa"/>
              <w:right w:w="60" w:type="dxa"/>
            </w:tcMar>
          </w:tcPr>
          <w:p>
            <w:pPr>
              <w:spacing w:line="276" w:lineRule="auto" w:after="0"/>
            </w:pPr>
            <w:r>
              <w:rPr>
                <w:rFonts w:ascii="Times New Roman" w:hAnsi="Times New Roman"/>
                <w:b/>
                <w:color w:val="0F172A"/>
                <w:sz w:val="18"/>
              </w:rPr>
              <w:t>Utility-First Styling</w:t>
            </w:r>
          </w:p>
        </w:tc>
        <w:tc>
          <w:tcPr>
            <w:tcW w:type="dxa" w:w="4565"/>
            <w:shd w:fill="ffffff"/>
            <w:tcMar>
              <w:top w:w="50" w:type="dxa"/>
              <w:bottom w:w="50" w:type="dxa"/>
              <w:left w:w="60" w:type="dxa"/>
              <w:right w:w="60" w:type="dxa"/>
            </w:tcMar>
          </w:tcPr>
          <w:p>
            <w:pPr>
              <w:spacing w:line="276" w:lineRule="auto" w:after="0"/>
            </w:pPr>
            <w:r>
              <w:rPr>
                <w:rFonts w:ascii="Times New Roman" w:hAnsi="Times New Roman"/>
                <w:sz w:val="18"/>
              </w:rPr>
              <w:t>Enables rapid, responsive, and consistent styling without context-switching to external CSS files. Built-in purging ensures minimal production bundle sizes.</w:t>
            </w:r>
          </w:p>
        </w:tc>
      </w:tr>
      <w:tr>
        <w:tc>
          <w:tcPr>
            <w:tcW w:type="dxa" w:w="1440"/>
            <w:shd w:fill="f8fafc"/>
            <w:tcMar>
              <w:top w:w="50" w:type="dxa"/>
              <w:bottom w:w="50" w:type="dxa"/>
              <w:left w:w="60" w:type="dxa"/>
              <w:right w:w="60" w:type="dxa"/>
            </w:tcMar>
          </w:tcPr>
          <w:p>
            <w:pPr>
              <w:spacing w:line="276" w:lineRule="auto" w:after="0"/>
            </w:pPr>
            <w:r>
              <w:rPr>
                <w:rFonts w:ascii="Times New Roman" w:hAnsi="Times New Roman"/>
                <w:b/>
                <w:color w:val="1E3A8A"/>
                <w:sz w:val="18"/>
              </w:rPr>
              <w:t>Prisma ORM 5.x</w:t>
            </w:r>
          </w:p>
        </w:tc>
        <w:tc>
          <w:tcPr>
            <w:tcW w:type="dxa" w:w="3024"/>
            <w:shd w:fill="f8fafc"/>
            <w:tcMar>
              <w:top w:w="50" w:type="dxa"/>
              <w:bottom w:w="50" w:type="dxa"/>
              <w:left w:w="60" w:type="dxa"/>
              <w:right w:w="60" w:type="dxa"/>
            </w:tcMar>
          </w:tcPr>
          <w:p>
            <w:pPr>
              <w:spacing w:line="276" w:lineRule="auto" w:after="0"/>
            </w:pPr>
            <w:r>
              <w:rPr>
                <w:rFonts w:ascii="Times New Roman" w:hAnsi="Times New Roman"/>
                <w:b/>
                <w:color w:val="0F172A"/>
                <w:sz w:val="18"/>
              </w:rPr>
              <w:t>Data Access &amp; Schema Migration</w:t>
            </w:r>
          </w:p>
        </w:tc>
        <w:tc>
          <w:tcPr>
            <w:tcW w:type="dxa" w:w="4565"/>
            <w:shd w:fill="f8fafc"/>
            <w:tcMar>
              <w:top w:w="50" w:type="dxa"/>
              <w:bottom w:w="50" w:type="dxa"/>
              <w:left w:w="60" w:type="dxa"/>
              <w:right w:w="60" w:type="dxa"/>
            </w:tcMar>
          </w:tcPr>
          <w:p>
            <w:pPr>
              <w:spacing w:line="276" w:lineRule="auto" w:after="0"/>
            </w:pPr>
            <w:r>
              <w:rPr>
                <w:rFonts w:ascii="Times New Roman" w:hAnsi="Times New Roman"/>
                <w:sz w:val="18"/>
              </w:rPr>
              <w:t>Delivers a single source of truth for the 21-entity domain schema with auto-generated, fully typed database client bindings. Provides declarative migrations and identical schema compatibility between SQLite and PostgreSQL.</w:t>
            </w:r>
          </w:p>
        </w:tc>
      </w:tr>
      <w:tr>
        <w:tc>
          <w:tcPr>
            <w:tcW w:type="dxa" w:w="1440"/>
            <w:shd w:fill="ffffff"/>
            <w:tcMar>
              <w:top w:w="50" w:type="dxa"/>
              <w:bottom w:w="50" w:type="dxa"/>
              <w:left w:w="60" w:type="dxa"/>
              <w:right w:w="60" w:type="dxa"/>
            </w:tcMar>
          </w:tcPr>
          <w:p>
            <w:pPr>
              <w:spacing w:line="276" w:lineRule="auto" w:after="0"/>
            </w:pPr>
            <w:r>
              <w:rPr>
                <w:rFonts w:ascii="Times New Roman" w:hAnsi="Times New Roman"/>
                <w:b/>
                <w:color w:val="1E3A8A"/>
                <w:sz w:val="18"/>
              </w:rPr>
              <w:t>SQLite 3 (dev.db)</w:t>
            </w:r>
          </w:p>
        </w:tc>
        <w:tc>
          <w:tcPr>
            <w:tcW w:type="dxa" w:w="3024"/>
            <w:shd w:fill="ffffff"/>
            <w:tcMar>
              <w:top w:w="50" w:type="dxa"/>
              <w:bottom w:w="50" w:type="dxa"/>
              <w:left w:w="60" w:type="dxa"/>
              <w:right w:w="60" w:type="dxa"/>
            </w:tcMar>
          </w:tcPr>
          <w:p>
            <w:pPr>
              <w:spacing w:line="276" w:lineRule="auto" w:after="0"/>
            </w:pPr>
            <w:r>
              <w:rPr>
                <w:rFonts w:ascii="Times New Roman" w:hAnsi="Times New Roman"/>
                <w:b/>
                <w:color w:val="0F172A"/>
                <w:sz w:val="18"/>
              </w:rPr>
              <w:t>Development Database Engine</w:t>
            </w:r>
          </w:p>
        </w:tc>
        <w:tc>
          <w:tcPr>
            <w:tcW w:type="dxa" w:w="4565"/>
            <w:shd w:fill="ffffff"/>
            <w:tcMar>
              <w:top w:w="50" w:type="dxa"/>
              <w:bottom w:w="50" w:type="dxa"/>
              <w:left w:w="60" w:type="dxa"/>
              <w:right w:w="60" w:type="dxa"/>
            </w:tcMar>
          </w:tcPr>
          <w:p>
            <w:pPr>
              <w:spacing w:line="276" w:lineRule="auto" w:after="0"/>
            </w:pPr>
            <w:r>
              <w:rPr>
                <w:rFonts w:ascii="Times New Roman" w:hAnsi="Times New Roman"/>
                <w:sz w:val="18"/>
              </w:rPr>
              <w:t>Enables zero-dependency, zero-setup local execution for undergraduate evaluations and automated CI/CD runners without requiring external database server daemons.</w:t>
            </w:r>
          </w:p>
        </w:tc>
      </w:tr>
      <w:tr>
        <w:tc>
          <w:tcPr>
            <w:tcW w:type="dxa" w:w="1440"/>
            <w:shd w:fill="f8fafc"/>
            <w:tcMar>
              <w:top w:w="50" w:type="dxa"/>
              <w:bottom w:w="50" w:type="dxa"/>
              <w:left w:w="60" w:type="dxa"/>
              <w:right w:w="60" w:type="dxa"/>
            </w:tcMar>
          </w:tcPr>
          <w:p>
            <w:pPr>
              <w:spacing w:line="276" w:lineRule="auto" w:after="0"/>
            </w:pPr>
            <w:r>
              <w:rPr>
                <w:rFonts w:ascii="Times New Roman" w:hAnsi="Times New Roman"/>
                <w:b/>
                <w:color w:val="1E3A8A"/>
                <w:sz w:val="18"/>
              </w:rPr>
              <w:t>bcryptjs &amp; jose</w:t>
            </w:r>
          </w:p>
        </w:tc>
        <w:tc>
          <w:tcPr>
            <w:tcW w:type="dxa" w:w="3024"/>
            <w:shd w:fill="f8fafc"/>
            <w:tcMar>
              <w:top w:w="50" w:type="dxa"/>
              <w:bottom w:w="50" w:type="dxa"/>
              <w:left w:w="60" w:type="dxa"/>
              <w:right w:w="60" w:type="dxa"/>
            </w:tcMar>
          </w:tcPr>
          <w:p>
            <w:pPr>
              <w:spacing w:line="276" w:lineRule="auto" w:after="0"/>
            </w:pPr>
            <w:r>
              <w:rPr>
                <w:rFonts w:ascii="Times New Roman" w:hAnsi="Times New Roman"/>
                <w:b/>
                <w:color w:val="0F172A"/>
                <w:sz w:val="18"/>
              </w:rPr>
              <w:t>Authentication &amp; Security</w:t>
            </w:r>
          </w:p>
        </w:tc>
        <w:tc>
          <w:tcPr>
            <w:tcW w:type="dxa" w:w="4565"/>
            <w:shd w:fill="f8fafc"/>
            <w:tcMar>
              <w:top w:w="50" w:type="dxa"/>
              <w:bottom w:w="50" w:type="dxa"/>
              <w:left w:w="60" w:type="dxa"/>
              <w:right w:w="60" w:type="dxa"/>
            </w:tcMar>
          </w:tcPr>
          <w:p>
            <w:pPr>
              <w:spacing w:line="276" w:lineRule="auto" w:after="0"/>
            </w:pPr>
            <w:r>
              <w:rPr>
                <w:rFonts w:ascii="Times New Roman" w:hAnsi="Times New Roman"/>
                <w:sz w:val="18"/>
              </w:rPr>
              <w:t>Provides industry-standard password hashing with adaptive salt rounds and lightweight, standards-compliant JSON Web Token (JWT) signing using pure JavaScript runtimes.</w:t>
            </w:r>
          </w:p>
        </w:tc>
      </w:tr>
      <w:tr>
        <w:tc>
          <w:tcPr>
            <w:tcW w:type="dxa" w:w="1440"/>
            <w:shd w:fill="ffffff"/>
            <w:tcMar>
              <w:top w:w="50" w:type="dxa"/>
              <w:bottom w:w="50" w:type="dxa"/>
              <w:left w:w="60" w:type="dxa"/>
              <w:right w:w="60" w:type="dxa"/>
            </w:tcMar>
          </w:tcPr>
          <w:p>
            <w:pPr>
              <w:spacing w:line="276" w:lineRule="auto" w:after="0"/>
            </w:pPr>
            <w:r>
              <w:rPr>
                <w:rFonts w:ascii="Times New Roman" w:hAnsi="Times New Roman"/>
                <w:b/>
                <w:color w:val="1E3A8A"/>
                <w:sz w:val="18"/>
              </w:rPr>
              <w:t>Vitest 2.x</w:t>
            </w:r>
          </w:p>
        </w:tc>
        <w:tc>
          <w:tcPr>
            <w:tcW w:type="dxa" w:w="3024"/>
            <w:shd w:fill="ffffff"/>
            <w:tcMar>
              <w:top w:w="50" w:type="dxa"/>
              <w:bottom w:w="50" w:type="dxa"/>
              <w:left w:w="60" w:type="dxa"/>
              <w:right w:w="60" w:type="dxa"/>
            </w:tcMar>
          </w:tcPr>
          <w:p>
            <w:pPr>
              <w:spacing w:line="276" w:lineRule="auto" w:after="0"/>
            </w:pPr>
            <w:r>
              <w:rPr>
                <w:rFonts w:ascii="Times New Roman" w:hAnsi="Times New Roman"/>
                <w:b/>
                <w:color w:val="0F172A"/>
                <w:sz w:val="18"/>
              </w:rPr>
              <w:t>Automated Testing Framework</w:t>
            </w:r>
          </w:p>
        </w:tc>
        <w:tc>
          <w:tcPr>
            <w:tcW w:type="dxa" w:w="4565"/>
            <w:shd w:fill="ffffff"/>
            <w:tcMar>
              <w:top w:w="50" w:type="dxa"/>
              <w:bottom w:w="50" w:type="dxa"/>
              <w:left w:w="60" w:type="dxa"/>
              <w:right w:w="60" w:type="dxa"/>
            </w:tcMar>
          </w:tcPr>
          <w:p>
            <w:pPr>
              <w:spacing w:line="276" w:lineRule="auto" w:after="0"/>
            </w:pPr>
            <w:r>
              <w:rPr>
                <w:rFonts w:ascii="Times New Roman" w:hAnsi="Times New Roman"/>
                <w:sz w:val="18"/>
              </w:rPr>
              <w:t>Modern, high-performance test runner with native TypeScript support and path aliasing. Executes test suites significantly faster than Jest while maintaining full compatibility.</w:t>
            </w:r>
          </w:p>
        </w:tc>
      </w:tr>
      <w:tr>
        <w:tc>
          <w:tcPr>
            <w:tcW w:type="dxa" w:w="1440"/>
            <w:shd w:fill="f8fafc"/>
            <w:tcMar>
              <w:top w:w="50" w:type="dxa"/>
              <w:bottom w:w="50" w:type="dxa"/>
              <w:left w:w="60" w:type="dxa"/>
              <w:right w:w="60" w:type="dxa"/>
            </w:tcMar>
          </w:tcPr>
          <w:p>
            <w:pPr>
              <w:spacing w:line="276" w:lineRule="auto" w:after="0"/>
            </w:pPr>
            <w:r>
              <w:rPr>
                <w:rFonts w:ascii="Times New Roman" w:hAnsi="Times New Roman"/>
                <w:b/>
                <w:color w:val="1E3A8A"/>
                <w:sz w:val="18"/>
              </w:rPr>
              <w:t>GitHub Actions</w:t>
            </w:r>
          </w:p>
        </w:tc>
        <w:tc>
          <w:tcPr>
            <w:tcW w:type="dxa" w:w="3024"/>
            <w:shd w:fill="f8fafc"/>
            <w:tcMar>
              <w:top w:w="50" w:type="dxa"/>
              <w:bottom w:w="50" w:type="dxa"/>
              <w:left w:w="60" w:type="dxa"/>
              <w:right w:w="60" w:type="dxa"/>
            </w:tcMar>
          </w:tcPr>
          <w:p>
            <w:pPr>
              <w:spacing w:line="276" w:lineRule="auto" w:after="0"/>
            </w:pPr>
            <w:r>
              <w:rPr>
                <w:rFonts w:ascii="Times New Roman" w:hAnsi="Times New Roman"/>
                <w:b/>
                <w:color w:val="0F172A"/>
                <w:sz w:val="18"/>
              </w:rPr>
              <w:t>Continuous Integration (CI)</w:t>
            </w:r>
          </w:p>
        </w:tc>
        <w:tc>
          <w:tcPr>
            <w:tcW w:type="dxa" w:w="4565"/>
            <w:shd w:fill="f8fafc"/>
            <w:tcMar>
              <w:top w:w="50" w:type="dxa"/>
              <w:bottom w:w="50" w:type="dxa"/>
              <w:left w:w="60" w:type="dxa"/>
              <w:right w:w="60" w:type="dxa"/>
            </w:tcMar>
          </w:tcPr>
          <w:p>
            <w:pPr>
              <w:spacing w:line="276" w:lineRule="auto" w:after="0"/>
            </w:pPr>
            <w:r>
              <w:rPr>
                <w:rFonts w:ascii="Times New Roman" w:hAnsi="Times New Roman"/>
                <w:sz w:val="18"/>
              </w:rPr>
              <w:t>Automates linting, database migrations, database seeding, test execution, and production build checks on every git commit and pull request.</w:t>
            </w:r>
          </w:p>
        </w:tc>
      </w:tr>
    </w:tbl>
    <w:p>
      <w:pPr>
        <w:spacing w:after="120"/>
      </w:pPr>
    </w:p>
    <w:p>
      <w:pPr>
        <w:keepNext/>
        <w:spacing w:before="280" w:after="100"/>
      </w:pPr>
      <w:r>
        <w:rPr>
          <w:rFonts w:ascii="Times New Roman" w:hAnsi="Times New Roman"/>
          <w:b/>
          <w:color w:val="1E3A8A"/>
          <w:sz w:val="28"/>
        </w:rPr>
        <w:t>3.7 Software Development Methodology</w:t>
      </w:r>
    </w:p>
    <w:p>
      <w:pPr>
        <w:spacing w:line="360" w:lineRule="auto" w:after="120"/>
        <w:jc w:val="both"/>
      </w:pPr>
      <w:r>
        <w:rPr>
          <w:rFonts w:ascii="Times New Roman" w:hAnsi="Times New Roman"/>
          <w:sz w:val="24"/>
        </w:rPr>
        <w:t>The engineering development of WORKUP follows an Iterative Agile Methodology coupled with Phased Architectural Gateways. Recognizing the technical complexity of integrating container orchestration, multi-tenant sandboxing, and full-stack web applications, the project was structured into iterative, test-driven phases (Phases 0 through 12).</w:t>
      </w:r>
    </w:p>
    <w:p>
      <w:pPr>
        <w:spacing w:line="360" w:lineRule="auto" w:after="120"/>
        <w:jc w:val="both"/>
      </w:pPr>
      <w:r>
        <w:rPr>
          <w:rFonts w:ascii="Times New Roman" w:hAnsi="Times New Roman"/>
          <w:sz w:val="24"/>
        </w:rPr>
        <w:t>Each development iteration operates under strict Quality Gates: an architectural phase cannot be declared complete until its domain schema is finalized, route handlers are implemented with Zod validation, and automated unit/integration tests achieve 100% pass rates in Vitest. This disciplined methodology prevented architectural drift and ensured that foundational features (Phase 1 authentication and Phase 2 DAG engine) were thoroughly hardened prior to constructing the Phase 3 workspace orchestrator.</w:t>
      </w:r>
    </w:p>
    <w:p>
      <w:pPr>
        <w:keepNext/>
        <w:spacing w:before="280" w:after="100"/>
      </w:pPr>
      <w:r>
        <w:rPr>
          <w:rFonts w:ascii="Times New Roman" w:hAnsi="Times New Roman"/>
          <w:b/>
          <w:color w:val="1E3A8A"/>
          <w:sz w:val="28"/>
        </w:rPr>
        <w:t>3.8 Main Operational Workflows</w:t>
      </w:r>
    </w:p>
    <w:p>
      <w:pPr>
        <w:spacing w:line="360" w:lineRule="auto" w:after="120"/>
        <w:jc w:val="both"/>
      </w:pPr>
      <w:r>
        <w:rPr>
          <w:rFonts w:ascii="Times New Roman" w:hAnsi="Times New Roman"/>
          <w:sz w:val="24"/>
        </w:rPr>
        <w:t>The primary end-to-end operational workflow follows the fourteen stages of the Universal Professional Lifecycle: (1) A learner navigates to the Career Explorer, selecting a discipline (e.g. Software Engineering) and specialized role (e.g. Junior Backend Engineer); (2) The learner enters a simulated company track (FinFlow Technologies) and reviews the business context; (3) The learner selects an unlocked task ticket (FF-104: Payment Webhook Idempotency) from the sprint backlog; (4) The system verifies DAG prerequisite completion and triggers the Workspace Orchestrator; (5) An isolated sandbox is provisioned in .workspaces/&lt;id&gt; containing the legacy payment codebase; (6) The student writes an idempotency handler adhering to ADR-001; (7) The student executes in-sandbox tests via Vitest; (8) Upon passing, the student submits a Git pull request; (9) The AI Tech Lead reviewer parses the unified diff and generates line-anchored feedback; (10) Dependent tasks unlock in the simulation DAG, and verified commit SHAs are appended to the learner's Evidence-of-Skill Dossier.</w:t>
      </w:r>
    </w:p>
    <w:p>
      <w:pPr>
        <w:keepNext/>
        <w:spacing w:before="280" w:after="100"/>
      </w:pPr>
      <w:r>
        <w:rPr>
          <w:rFonts w:ascii="Times New Roman" w:hAnsi="Times New Roman"/>
          <w:b/>
          <w:color w:val="1E3A8A"/>
          <w:sz w:val="28"/>
        </w:rPr>
        <w:t>3.9 Data Management, Privacy, and Security Controls</w:t>
      </w:r>
    </w:p>
    <w:p>
      <w:pPr>
        <w:spacing w:line="360" w:lineRule="auto" w:after="120"/>
        <w:jc w:val="both"/>
      </w:pPr>
      <w:r>
        <w:rPr>
          <w:rFonts w:ascii="Times New Roman" w:hAnsi="Times New Roman"/>
          <w:sz w:val="24"/>
        </w:rPr>
        <w:t>WORKUP implements rigorous security and data protection mechanisms: (1) Cryptographic Hashing: all passwords are salted and hashed via bcryptjs (work factor: 12), preventing rainbow table attacks; (2) Tamper-Evident Sessions: signed stateless JWTs with 24-hour expiration stored in HTTP-only, secure, SameSite cookies prevent Cross-Site Scripting (XSS) token theft; (3) Input Sanitization: all API inputs are parsed against strict Zod runtime validation schemas, eliminating injection vulnerabilities; (4) Process Sandboxing: the IsolatedSandboxProvider validates all execution paths against directory traversal attacks, executing commands under bounded process privileges.</w:t>
      </w:r>
    </w:p>
    <w:p>
      <w:pPr>
        <w:keepNext/>
        <w:spacing w:before="280" w:after="100"/>
      </w:pPr>
      <w:r>
        <w:rPr>
          <w:rFonts w:ascii="Times New Roman" w:hAnsi="Times New Roman"/>
          <w:b/>
          <w:color w:val="1E3A8A"/>
          <w:sz w:val="28"/>
        </w:rPr>
        <w:t>3.10 Feasibility Analysis and Technical Constraints</w:t>
      </w:r>
    </w:p>
    <w:p>
      <w:pPr>
        <w:spacing w:line="360" w:lineRule="auto" w:after="120"/>
        <w:jc w:val="both"/>
      </w:pPr>
      <w:r>
        <w:rPr>
          <w:rFonts w:ascii="Times New Roman" w:hAnsi="Times New Roman"/>
          <w:sz w:val="24"/>
        </w:rPr>
        <w:t>Technical feasibility is verified through the successful compilation of the Next.js App Router codebase, passing Prisma migrations, and 34 passing Vitest tests. Operational feasibility is demonstrated by the system's ability to execute on commodity laptops without external cloud dependencies. Economic feasibility is ensured through zero-license open-source runtimes. System constraints include single-node process sandboxing during Stage-I, with distributed container clustering reserved for Stage-II.</w:t>
      </w:r>
    </w:p>
    <w:p>
      <w:r>
        <w:br w:type="page"/>
      </w:r>
    </w:p>
    <w:p>
      <w:pPr>
        <w:keepNext/>
        <w:spacing w:before="320" w:after="280"/>
        <w:jc w:val="center"/>
      </w:pPr>
      <w:r>
        <w:rPr>
          <w:rFonts w:ascii="Times New Roman" w:hAnsi="Times New Roman"/>
          <w:b/>
          <w:color w:val="1E3A8A"/>
          <w:sz w:val="32"/>
        </w:rPr>
        <w:t>CHAPTER 4</w:t>
        <w:br/>
        <w:t>SYSTEM DESIGN AND UML MODELING</w:t>
      </w:r>
    </w:p>
    <w:p>
      <w:pPr>
        <w:keepNext/>
        <w:spacing w:before="280" w:after="100"/>
      </w:pPr>
      <w:r>
        <w:rPr>
          <w:rFonts w:ascii="Times New Roman" w:hAnsi="Times New Roman"/>
          <w:b/>
          <w:color w:val="1E3A8A"/>
          <w:sz w:val="28"/>
        </w:rPr>
        <w:t>4.1 System Architecture &amp; Tiered Topology</w:t>
      </w:r>
    </w:p>
    <w:p>
      <w:pPr>
        <w:spacing w:line="360" w:lineRule="auto" w:after="120"/>
        <w:jc w:val="both"/>
      </w:pPr>
      <w:r>
        <w:rPr>
          <w:rFonts w:ascii="Times New Roman" w:hAnsi="Times New Roman"/>
          <w:sz w:val="24"/>
        </w:rPr>
        <w:t>The system architecture of WORKUP is designed around a multi-tiered, service-oriented topology that cleanly decouples client presentation, API routing, business domain logic, sandbox execution, and persistent storage. Figure 4.1 illustrates the comprehensive tiered system architecture:</w:t>
      </w:r>
    </w:p>
    <w:p>
      <w:pPr>
        <w:keepNext/>
        <w:spacing w:before="240" w:after="80"/>
        <w:jc w:val="center"/>
      </w:pPr>
      <w:r>
        <w:drawing>
          <wp:inline xmlns:a="http://schemas.openxmlformats.org/drawingml/2006/main" xmlns:pic="http://schemas.openxmlformats.org/drawingml/2006/picture">
            <wp:extent cx="5577840" cy="4788373"/>
            <wp:docPr id="1" name="Picture 1"/>
            <wp:cNvGraphicFramePr>
              <a:graphicFrameLocks noChangeAspect="1"/>
            </wp:cNvGraphicFramePr>
            <a:graphic>
              <a:graphicData uri="http://schemas.openxmlformats.org/drawingml/2006/picture">
                <pic:pic>
                  <pic:nvPicPr>
                    <pic:cNvPr id="0" name="fig_1_system_architecture.png"/>
                    <pic:cNvPicPr/>
                  </pic:nvPicPr>
                  <pic:blipFill>
                    <a:blip r:embed="rId11"/>
                    <a:stretch>
                      <a:fillRect/>
                    </a:stretch>
                  </pic:blipFill>
                  <pic:spPr>
                    <a:xfrm>
                      <a:off x="0" y="0"/>
                      <a:ext cx="5577840" cy="4788373"/>
                    </a:xfrm>
                    <a:prstGeom prst="rect"/>
                  </pic:spPr>
                </pic:pic>
              </a:graphicData>
            </a:graphic>
          </wp:inline>
        </w:drawing>
      </w:r>
    </w:p>
    <w:p>
      <w:pPr>
        <w:keepNext w:val="0"/>
        <w:spacing w:before="40" w:after="240"/>
        <w:jc w:val="center"/>
      </w:pPr>
      <w:r>
        <w:rPr>
          <w:rFonts w:ascii="Times New Roman" w:hAnsi="Times New Roman"/>
          <w:b/>
          <w:i/>
          <w:color w:val="475569"/>
          <w:sz w:val="20"/>
        </w:rPr>
        <w:t>Figure 4.1: WORKUP Tiered System Architecture Diagram.</w:t>
      </w:r>
    </w:p>
    <w:p>
      <w:pPr>
        <w:spacing w:line="360" w:lineRule="auto" w:after="120"/>
        <w:jc w:val="both"/>
      </w:pPr>
      <w:r>
        <w:rPr>
          <w:rFonts w:ascii="Times New Roman" w:hAnsi="Times New Roman"/>
          <w:sz w:val="24"/>
        </w:rPr>
        <w:t>The architecture comprises five distinct functional tiers:</w:t>
      </w:r>
    </w:p>
    <w:p>
      <w:pPr>
        <w:pStyle w:val="ListBullet"/>
        <w:spacing w:line="312" w:lineRule="auto" w:after="80"/>
        <w:jc w:val="both"/>
      </w:pPr>
      <w:r>
        <w:rPr>
          <w:rFonts w:ascii="Times New Roman" w:hAnsi="Times New Roman"/>
          <w:b/>
          <w:sz w:val="24"/>
        </w:rPr>
        <w:t xml:space="preserve">1. Client Presentation Tier: </w:t>
      </w:r>
      <w:r>
        <w:rPr>
          <w:rFonts w:ascii="Times New Roman" w:hAnsi="Times New Roman"/>
          <w:sz w:val="24"/>
        </w:rPr>
        <w:t>Constructed using Next.js 14 App Router, React 18, and Tailwind CSS. Delivers high-performance Server Components (RSC) and responsive Client Components for the Landing Page, Career Explorer, Student Workstation, Cloud Workbench, and Public Portfolio Dossier.</w:t>
      </w:r>
    </w:p>
    <w:p>
      <w:pPr>
        <w:pStyle w:val="ListBullet"/>
        <w:spacing w:line="312" w:lineRule="auto" w:after="80"/>
        <w:jc w:val="both"/>
      </w:pPr>
      <w:r>
        <w:rPr>
          <w:rFonts w:ascii="Times New Roman" w:hAnsi="Times New Roman"/>
          <w:b/>
          <w:sz w:val="24"/>
        </w:rPr>
        <w:t xml:space="preserve">2. API Gateway &amp; Security Tier: </w:t>
      </w:r>
      <w:r>
        <w:rPr>
          <w:rFonts w:ascii="Times New Roman" w:hAnsi="Times New Roman"/>
          <w:sz w:val="24"/>
        </w:rPr>
        <w:t>Implemented via Next.js Route Handlers. Serves as the single entry point for all client requests, enforcing runtime payload validation via Zod schemas, managing JWT session verification, and executing Role-Based Access Control (RBAC) authorization guards.</w:t>
      </w:r>
    </w:p>
    <w:p>
      <w:pPr>
        <w:pStyle w:val="ListBullet"/>
        <w:spacing w:line="312" w:lineRule="auto" w:after="80"/>
        <w:jc w:val="both"/>
      </w:pPr>
      <w:r>
        <w:rPr>
          <w:rFonts w:ascii="Times New Roman" w:hAnsi="Times New Roman"/>
          <w:b/>
          <w:sz w:val="24"/>
        </w:rPr>
        <w:t xml:space="preserve">3. Core Domain &amp; Business Services Tier: </w:t>
      </w:r>
      <w:r>
        <w:rPr>
          <w:rFonts w:ascii="Times New Roman" w:hAnsi="Times New Roman"/>
          <w:sz w:val="24"/>
        </w:rPr>
        <w:t>Contains the domain business logic, including the Simulation Content Engine, the Directed Acyclic Graph (DAG) task engine, the Workspace Orchestrator (managing timeouts and concurrency quotas), the Multi-Tier Evaluation Engine, and the append-only Audit Logging Service.</w:t>
      </w:r>
    </w:p>
    <w:p>
      <w:pPr>
        <w:pStyle w:val="ListBullet"/>
        <w:spacing w:line="312" w:lineRule="auto" w:after="80"/>
        <w:jc w:val="both"/>
      </w:pPr>
      <w:r>
        <w:rPr>
          <w:rFonts w:ascii="Times New Roman" w:hAnsi="Times New Roman"/>
          <w:b/>
          <w:sz w:val="24"/>
        </w:rPr>
        <w:t xml:space="preserve">4. Workspace &amp; Execution Tier: </w:t>
      </w:r>
      <w:r>
        <w:rPr>
          <w:rFonts w:ascii="Times New Roman" w:hAnsi="Times New Roman"/>
          <w:sz w:val="24"/>
        </w:rPr>
        <w:t>Manages isolated development environments. In Stage-I, this tier is powered by the IsolatedSandboxProvider, which spawns jailed child processes within dedicated .workspaces/&lt;workspaceId&gt; directories with execution timeouts. In Stage-II, this will scale to containerized Docker/Kubernetes worker pods.</w:t>
      </w:r>
    </w:p>
    <w:p>
      <w:pPr>
        <w:pStyle w:val="ListBullet"/>
        <w:spacing w:line="312" w:lineRule="auto" w:after="80"/>
        <w:jc w:val="both"/>
      </w:pPr>
      <w:r>
        <w:rPr>
          <w:rFonts w:ascii="Times New Roman" w:hAnsi="Times New Roman"/>
          <w:b/>
          <w:sz w:val="24"/>
        </w:rPr>
        <w:t xml:space="preserve">5. Persistence &amp; Storage Tier: </w:t>
      </w:r>
      <w:r>
        <w:rPr>
          <w:rFonts w:ascii="Times New Roman" w:hAnsi="Times New Roman"/>
          <w:sz w:val="24"/>
        </w:rPr>
        <w:t>Utilizes Prisma ORM 5.x as a type-safe database abstraction layer connecting to a relational database (SQLite dev.db in development, PostgreSQL in production), alongside POSIX filesystem storage (.artifacts/) for snapshots and Git diffs.</w:t>
      </w:r>
    </w:p>
    <w:p>
      <w:pPr>
        <w:keepNext/>
        <w:spacing w:before="280" w:after="100"/>
      </w:pPr>
      <w:r>
        <w:rPr>
          <w:rFonts w:ascii="Times New Roman" w:hAnsi="Times New Roman"/>
          <w:b/>
          <w:color w:val="1E3A8A"/>
          <w:sz w:val="28"/>
        </w:rPr>
        <w:t>4.2 Use Case Modeling</w:t>
      </w:r>
    </w:p>
    <w:p>
      <w:pPr>
        <w:spacing w:line="360" w:lineRule="auto" w:after="120"/>
        <w:jc w:val="both"/>
      </w:pPr>
      <w:r>
        <w:rPr>
          <w:rFonts w:ascii="Times New Roman" w:hAnsi="Times New Roman"/>
          <w:sz w:val="24"/>
        </w:rPr>
        <w:t>The Use Case model formally captures the interactions between external actors and the WORKUP platform boundary. Figure 4.2 presents the unified use case diagram:</w:t>
      </w:r>
    </w:p>
    <w:p>
      <w:pPr>
        <w:keepNext/>
        <w:spacing w:before="240" w:after="80"/>
        <w:jc w:val="center"/>
      </w:pPr>
      <w:r>
        <w:drawing>
          <wp:inline xmlns:a="http://schemas.openxmlformats.org/drawingml/2006/main" xmlns:pic="http://schemas.openxmlformats.org/drawingml/2006/picture">
            <wp:extent cx="5577840" cy="4607867"/>
            <wp:docPr id="2" name="Picture 2"/>
            <wp:cNvGraphicFramePr>
              <a:graphicFrameLocks noChangeAspect="1"/>
            </wp:cNvGraphicFramePr>
            <a:graphic>
              <a:graphicData uri="http://schemas.openxmlformats.org/drawingml/2006/picture">
                <pic:pic>
                  <pic:nvPicPr>
                    <pic:cNvPr id="0" name="fig_2_use_case.png"/>
                    <pic:cNvPicPr/>
                  </pic:nvPicPr>
                  <pic:blipFill>
                    <a:blip r:embed="rId12"/>
                    <a:stretch>
                      <a:fillRect/>
                    </a:stretch>
                  </pic:blipFill>
                  <pic:spPr>
                    <a:xfrm>
                      <a:off x="0" y="0"/>
                      <a:ext cx="5577840" cy="4607867"/>
                    </a:xfrm>
                    <a:prstGeom prst="rect"/>
                  </pic:spPr>
                </pic:pic>
              </a:graphicData>
            </a:graphic>
          </wp:inline>
        </w:drawing>
      </w:r>
    </w:p>
    <w:p>
      <w:pPr>
        <w:keepNext w:val="0"/>
        <w:spacing w:before="40" w:after="240"/>
        <w:jc w:val="center"/>
      </w:pPr>
      <w:r>
        <w:rPr>
          <w:rFonts w:ascii="Times New Roman" w:hAnsi="Times New Roman"/>
          <w:b/>
          <w:i/>
          <w:color w:val="475569"/>
          <w:sz w:val="20"/>
        </w:rPr>
        <w:t>Figure 4.2: WORKUP Unified Use Case Diagram.</w:t>
      </w:r>
    </w:p>
    <w:p>
      <w:pPr>
        <w:spacing w:line="360" w:lineRule="auto" w:after="120"/>
        <w:jc w:val="both"/>
      </w:pPr>
      <w:r>
        <w:rPr>
          <w:rFonts w:ascii="Times New Roman" w:hAnsi="Times New Roman"/>
          <w:sz w:val="24"/>
        </w:rPr>
        <w:t>The system defines interactions for four primary actors:</w:t>
      </w:r>
    </w:p>
    <w:p>
      <w:pPr>
        <w:pStyle w:val="ListBullet"/>
        <w:spacing w:line="312" w:lineRule="auto" w:after="80"/>
        <w:jc w:val="both"/>
      </w:pPr>
      <w:r>
        <w:rPr>
          <w:rFonts w:ascii="Times New Roman" w:hAnsi="Times New Roman"/>
          <w:b/>
          <w:sz w:val="24"/>
        </w:rPr>
        <w:t xml:space="preserve">Student / Learner Actor: </w:t>
      </w:r>
      <w:r>
        <w:rPr>
          <w:rFonts w:ascii="Times New Roman" w:hAnsi="Times New Roman"/>
          <w:sz w:val="24"/>
        </w:rPr>
        <w:t>Interacts with use cases UC-01 (Explore Careers &amp; Roles), UC-02 (Launch Simulation Track), UC-03 (Inspect Ticket &amp; ADR), UC-04 (Provision Cloud Workspace), UC-05 (Run Tests in Sandbox), UC-06 (Submit Pull Request), and UC-07 (View Evidence Dossier).</w:t>
      </w:r>
    </w:p>
    <w:p>
      <w:pPr>
        <w:pStyle w:val="ListBullet"/>
        <w:spacing w:line="312" w:lineRule="auto" w:after="80"/>
        <w:jc w:val="both"/>
      </w:pPr>
      <w:r>
        <w:rPr>
          <w:rFonts w:ascii="Times New Roman" w:hAnsi="Times New Roman"/>
          <w:b/>
          <w:sz w:val="24"/>
        </w:rPr>
        <w:t xml:space="preserve">Technical Reviewer Actor: </w:t>
      </w:r>
      <w:r>
        <w:rPr>
          <w:rFonts w:ascii="Times New Roman" w:hAnsi="Times New Roman"/>
          <w:sz w:val="24"/>
        </w:rPr>
        <w:t>Engages with UC-08 (Inspect PR Diff &amp; Notes), UC-09 (Score Rubric Criteria), and UC-10 (Conduct Line-by-Line Code Review). In Stage-II, this actor is augmented by an automated AI Tech Lead agent.</w:t>
      </w:r>
    </w:p>
    <w:p>
      <w:pPr>
        <w:pStyle w:val="ListBullet"/>
        <w:spacing w:line="312" w:lineRule="auto" w:after="80"/>
        <w:jc w:val="both"/>
      </w:pPr>
      <w:r>
        <w:rPr>
          <w:rFonts w:ascii="Times New Roman" w:hAnsi="Times New Roman"/>
          <w:b/>
          <w:sz w:val="24"/>
        </w:rPr>
        <w:t xml:space="preserve">Content Author Actor: </w:t>
      </w:r>
      <w:r>
        <w:rPr>
          <w:rFonts w:ascii="Times New Roman" w:hAnsi="Times New Roman"/>
          <w:sz w:val="24"/>
        </w:rPr>
        <w:t>Executes UC-11 (Author Company &amp; Teams), UC-12 (Configure Task DAG), and UC-13 (Set Acceptance Benchmarks and Test Harnesses).</w:t>
      </w:r>
    </w:p>
    <w:p>
      <w:pPr>
        <w:pStyle w:val="ListBullet"/>
        <w:spacing w:line="312" w:lineRule="auto" w:after="80"/>
        <w:jc w:val="both"/>
      </w:pPr>
      <w:r>
        <w:rPr>
          <w:rFonts w:ascii="Times New Roman" w:hAnsi="Times New Roman"/>
          <w:b/>
          <w:sz w:val="24"/>
        </w:rPr>
        <w:t xml:space="preserve">Administrator Actor: </w:t>
      </w:r>
      <w:r>
        <w:rPr>
          <w:rFonts w:ascii="Times New Roman" w:hAnsi="Times New Roman"/>
          <w:sz w:val="24"/>
        </w:rPr>
        <w:t>Responsible for platform governance through UC-14 (Audit Log Governance), UC-15 (Fleet Concurrency Limits), and UC-16 (User Role Management).</w:t>
      </w:r>
    </w:p>
    <w:p>
      <w:pPr>
        <w:keepNext/>
        <w:spacing w:before="280" w:after="100"/>
      </w:pPr>
      <w:r>
        <w:rPr>
          <w:rFonts w:ascii="Times New Roman" w:hAnsi="Times New Roman"/>
          <w:b/>
          <w:color w:val="1E3A8A"/>
          <w:sz w:val="28"/>
        </w:rPr>
        <w:t>4.3 Activity Modeling</w:t>
      </w:r>
    </w:p>
    <w:p>
      <w:pPr>
        <w:spacing w:line="360" w:lineRule="auto" w:after="120"/>
        <w:jc w:val="both"/>
      </w:pPr>
      <w:r>
        <w:rPr>
          <w:rFonts w:ascii="Times New Roman" w:hAnsi="Times New Roman"/>
          <w:sz w:val="24"/>
        </w:rPr>
        <w:t>The Activity Diagram models the dynamic operational workflow of a student progressing through a simulation track, highlighting key decision gates, automated loops, and state transitions. Figure 4.3 depicts this workflow:</w:t>
      </w:r>
    </w:p>
    <w:p>
      <w:pPr>
        <w:keepNext/>
        <w:spacing w:before="240" w:after="80"/>
        <w:jc w:val="center"/>
      </w:pPr>
      <w:r>
        <w:drawing>
          <wp:inline xmlns:a="http://schemas.openxmlformats.org/drawingml/2006/main" xmlns:pic="http://schemas.openxmlformats.org/drawingml/2006/picture">
            <wp:extent cx="5394960" cy="5203915"/>
            <wp:docPr id="3" name="Picture 3"/>
            <wp:cNvGraphicFramePr>
              <a:graphicFrameLocks noChangeAspect="1"/>
            </wp:cNvGraphicFramePr>
            <a:graphic>
              <a:graphicData uri="http://schemas.openxmlformats.org/drawingml/2006/picture">
                <pic:pic>
                  <pic:nvPicPr>
                    <pic:cNvPr id="0" name="fig_3_activity_workflow.png"/>
                    <pic:cNvPicPr/>
                  </pic:nvPicPr>
                  <pic:blipFill>
                    <a:blip r:embed="rId13"/>
                    <a:stretch>
                      <a:fillRect/>
                    </a:stretch>
                  </pic:blipFill>
                  <pic:spPr>
                    <a:xfrm>
                      <a:off x="0" y="0"/>
                      <a:ext cx="5394960" cy="5203915"/>
                    </a:xfrm>
                    <a:prstGeom prst="rect"/>
                  </pic:spPr>
                </pic:pic>
              </a:graphicData>
            </a:graphic>
          </wp:inline>
        </w:drawing>
      </w:r>
    </w:p>
    <w:p>
      <w:pPr>
        <w:keepNext w:val="0"/>
        <w:spacing w:before="40" w:after="240"/>
        <w:jc w:val="center"/>
      </w:pPr>
      <w:r>
        <w:rPr>
          <w:rFonts w:ascii="Times New Roman" w:hAnsi="Times New Roman"/>
          <w:b/>
          <w:i/>
          <w:color w:val="475569"/>
          <w:sz w:val="20"/>
        </w:rPr>
        <w:t>Figure 4.3: WORKUP Activity Workflow Diagram.</w:t>
      </w:r>
    </w:p>
    <w:p>
      <w:pPr>
        <w:spacing w:line="360" w:lineRule="auto" w:after="120"/>
        <w:jc w:val="both"/>
      </w:pPr>
      <w:r>
        <w:rPr>
          <w:rFonts w:ascii="Times New Roman" w:hAnsi="Times New Roman"/>
          <w:sz w:val="24"/>
        </w:rPr>
        <w:t>The activity sequence proceeds through several critical phases and decision points:</w:t>
      </w:r>
    </w:p>
    <w:p>
      <w:pPr>
        <w:pStyle w:val="ListBullet"/>
        <w:spacing w:line="312" w:lineRule="auto" w:after="80"/>
        <w:jc w:val="both"/>
      </w:pPr>
      <w:r>
        <w:rPr>
          <w:rFonts w:ascii="Times New Roman" w:hAnsi="Times New Roman"/>
          <w:b/>
          <w:sz w:val="24"/>
        </w:rPr>
        <w:t xml:space="preserve">DAG Prerequisite Verification Gate: </w:t>
      </w:r>
      <w:r>
        <w:rPr>
          <w:rFonts w:ascii="Times New Roman" w:hAnsi="Times New Roman"/>
          <w:sz w:val="24"/>
        </w:rPr>
        <w:t>When a student selects a task ticket, the system evaluates the task's prerequisite dependencies. If dependencies are unsatisfied, the task remains locked; if satisfied, the workspace provisioning sequence begins.</w:t>
      </w:r>
    </w:p>
    <w:p>
      <w:pPr>
        <w:pStyle w:val="ListBullet"/>
        <w:spacing w:line="312" w:lineRule="auto" w:after="80"/>
        <w:jc w:val="both"/>
      </w:pPr>
      <w:r>
        <w:rPr>
          <w:rFonts w:ascii="Times New Roman" w:hAnsi="Times New Roman"/>
          <w:b/>
          <w:sz w:val="24"/>
        </w:rPr>
        <w:t xml:space="preserve">In-Sandbox Test Execution Loop: </w:t>
      </w:r>
      <w:r>
        <w:rPr>
          <w:rFonts w:ascii="Times New Roman" w:hAnsi="Times New Roman"/>
          <w:sz w:val="24"/>
        </w:rPr>
        <w:t>Within the provisioned sandbox, the student implements their code solution and executes automated tests. If test assertions fail, the learner inspects execution error traces and iterates locally without penalty.</w:t>
      </w:r>
    </w:p>
    <w:p>
      <w:pPr>
        <w:pStyle w:val="ListBullet"/>
        <w:spacing w:line="312" w:lineRule="auto" w:after="80"/>
        <w:jc w:val="both"/>
      </w:pPr>
      <w:r>
        <w:rPr>
          <w:rFonts w:ascii="Times New Roman" w:hAnsi="Times New Roman"/>
          <w:b/>
          <w:sz w:val="24"/>
        </w:rPr>
        <w:t xml:space="preserve">Pull Request Evaluation Gate: </w:t>
      </w:r>
      <w:r>
        <w:rPr>
          <w:rFonts w:ascii="Times New Roman" w:hAnsi="Times New Roman"/>
          <w:sz w:val="24"/>
        </w:rPr>
        <w:t>Once local tests pass, the student submits a pull request. The review engine evaluates the unified diff against architectural rubrics. If changes are requested, the student refactors their solution; if approved, the simulation DAG unlocks subsequent tasks, and verified commit SHAs are appended to the student's Evidence-of-Skill Dossier.</w:t>
      </w:r>
    </w:p>
    <w:p>
      <w:pPr>
        <w:keepNext/>
        <w:spacing w:before="280" w:after="100"/>
      </w:pPr>
      <w:r>
        <w:rPr>
          <w:rFonts w:ascii="Times New Roman" w:hAnsi="Times New Roman"/>
          <w:b/>
          <w:color w:val="1E3A8A"/>
          <w:sz w:val="28"/>
        </w:rPr>
        <w:t>4.4 Sequence Modeling (Task Submission &amp; Review)</w:t>
      </w:r>
    </w:p>
    <w:p>
      <w:pPr>
        <w:spacing w:line="360" w:lineRule="auto" w:after="120"/>
        <w:jc w:val="both"/>
      </w:pPr>
      <w:r>
        <w:rPr>
          <w:rFonts w:ascii="Times New Roman" w:hAnsi="Times New Roman"/>
          <w:sz w:val="24"/>
        </w:rPr>
        <w:t>The Sequence Diagram details the exact chronological message exchanges and method invocations occurring across system boundaries during test execution and pull request submission. Figure 4.4 illustrates this sequence:</w:t>
      </w:r>
    </w:p>
    <w:p>
      <w:pPr>
        <w:keepNext/>
        <w:spacing w:before="240" w:after="80"/>
        <w:jc w:val="center"/>
      </w:pPr>
      <w:r>
        <w:drawing>
          <wp:inline xmlns:a="http://schemas.openxmlformats.org/drawingml/2006/main" xmlns:pic="http://schemas.openxmlformats.org/drawingml/2006/picture">
            <wp:extent cx="5577840" cy="4563499"/>
            <wp:docPr id="4" name="Picture 4"/>
            <wp:cNvGraphicFramePr>
              <a:graphicFrameLocks noChangeAspect="1"/>
            </wp:cNvGraphicFramePr>
            <a:graphic>
              <a:graphicData uri="http://schemas.openxmlformats.org/drawingml/2006/picture">
                <pic:pic>
                  <pic:nvPicPr>
                    <pic:cNvPr id="0" name="fig_4_sequence_submission.png"/>
                    <pic:cNvPicPr/>
                  </pic:nvPicPr>
                  <pic:blipFill>
                    <a:blip r:embed="rId14"/>
                    <a:stretch>
                      <a:fillRect/>
                    </a:stretch>
                  </pic:blipFill>
                  <pic:spPr>
                    <a:xfrm>
                      <a:off x="0" y="0"/>
                      <a:ext cx="5577840" cy="4563499"/>
                    </a:xfrm>
                    <a:prstGeom prst="rect"/>
                  </pic:spPr>
                </pic:pic>
              </a:graphicData>
            </a:graphic>
          </wp:inline>
        </w:drawing>
      </w:r>
    </w:p>
    <w:p>
      <w:pPr>
        <w:keepNext w:val="0"/>
        <w:spacing w:before="40" w:after="240"/>
        <w:jc w:val="center"/>
      </w:pPr>
      <w:r>
        <w:rPr>
          <w:rFonts w:ascii="Times New Roman" w:hAnsi="Times New Roman"/>
          <w:b/>
          <w:i/>
          <w:color w:val="475569"/>
          <w:sz w:val="20"/>
        </w:rPr>
        <w:t>Figure 4.4: WORKUP Sequence Diagram for Task Submission and Review.</w:t>
      </w:r>
    </w:p>
    <w:p>
      <w:pPr>
        <w:spacing w:line="360" w:lineRule="auto" w:after="120"/>
        <w:jc w:val="both"/>
      </w:pPr>
      <w:r>
        <w:rPr>
          <w:rFonts w:ascii="Times New Roman" w:hAnsi="Times New Roman"/>
          <w:sz w:val="24"/>
        </w:rPr>
        <w:t>The sequence trace is divided into two distinct operational phases:</w:t>
      </w:r>
    </w:p>
    <w:p>
      <w:pPr>
        <w:pStyle w:val="ListBullet"/>
        <w:spacing w:line="312" w:lineRule="auto" w:after="80"/>
        <w:jc w:val="both"/>
      </w:pPr>
      <w:r>
        <w:rPr>
          <w:rFonts w:ascii="Times New Roman" w:hAnsi="Times New Roman"/>
          <w:b/>
          <w:sz w:val="24"/>
        </w:rPr>
        <w:t xml:space="preserve">Phase 1: In-Sandbox Test Execution (Messages 1–8): </w:t>
      </w:r>
      <w:r>
        <w:rPr>
          <w:rFonts w:ascii="Times New Roman" w:hAnsi="Times New Roman"/>
          <w:sz w:val="24"/>
        </w:rPr>
        <w:t>The student clicks "Run Automated Tests" in the Workbench UI, triggering a POST request to /api/workspaces/[id]/test. The route handler delegates to the Workspace Orchestrator, which calls IsolatedSandboxProvider.spawnProcess() with the test command (e.g. npm test) and a strict 4000ms timeout cap. The sandbox captures stdout/stderr and exit codes, returning a structured test summary JSON envelope (passed, failed, duration) to render passing badges in the UI.</w:t>
      </w:r>
    </w:p>
    <w:p>
      <w:pPr>
        <w:pStyle w:val="ListBullet"/>
        <w:spacing w:line="312" w:lineRule="auto" w:after="80"/>
        <w:jc w:val="both"/>
      </w:pPr>
      <w:r>
        <w:rPr>
          <w:rFonts w:ascii="Times New Roman" w:hAnsi="Times New Roman"/>
          <w:b/>
          <w:sz w:val="24"/>
        </w:rPr>
        <w:t xml:space="preserve">Phase 2: PR Submission &amp; AI Tech Lead Review (Messages 9–19): </w:t>
      </w:r>
      <w:r>
        <w:rPr>
          <w:rFonts w:ascii="Times New Roman" w:hAnsi="Times New Roman"/>
          <w:sz w:val="24"/>
        </w:rPr>
        <w:t>The student clicks "Submit Pull Request", initiating a POST to /api/workspaces/[id]/submit. The orchestrator captures a Git unified diff and commit SHA from the sandbox, persisting a new record in the Submission table with status 'SUBMITTED'. The evaluation engine assesses the diff against the task's rubric and ADR specifications, persisting an Evaluation record (numerical score, structured markdown feedback, approval status) and updating the simulation DAG state to unlock dependent tasks.</w:t>
      </w:r>
    </w:p>
    <w:p>
      <w:pPr>
        <w:keepNext/>
        <w:spacing w:before="280" w:after="100"/>
      </w:pPr>
      <w:r>
        <w:rPr>
          <w:rFonts w:ascii="Times New Roman" w:hAnsi="Times New Roman"/>
          <w:b/>
          <w:color w:val="1E3A8A"/>
          <w:sz w:val="28"/>
        </w:rPr>
        <w:t>4.5 Class and Domain Object Modeling</w:t>
      </w:r>
    </w:p>
    <w:p>
      <w:pPr>
        <w:spacing w:line="360" w:lineRule="auto" w:after="120"/>
        <w:jc w:val="both"/>
      </w:pPr>
      <w:r>
        <w:rPr>
          <w:rFonts w:ascii="Times New Roman" w:hAnsi="Times New Roman"/>
          <w:sz w:val="24"/>
        </w:rPr>
        <w:t>The Class Diagram formalizes the structural domain model, defining entity attributes, method signatures, and relationship multiplicities. Figure 4.5 illustrates the complete domain class model:</w:t>
      </w:r>
    </w:p>
    <w:p>
      <w:pPr>
        <w:keepNext/>
        <w:spacing w:before="240" w:after="80"/>
        <w:jc w:val="center"/>
      </w:pPr>
      <w:r>
        <w:drawing>
          <wp:inline xmlns:a="http://schemas.openxmlformats.org/drawingml/2006/main" xmlns:pic="http://schemas.openxmlformats.org/drawingml/2006/picture">
            <wp:extent cx="5577840" cy="4945173"/>
            <wp:docPr id="5" name="Picture 5"/>
            <wp:cNvGraphicFramePr>
              <a:graphicFrameLocks noChangeAspect="1"/>
            </wp:cNvGraphicFramePr>
            <a:graphic>
              <a:graphicData uri="http://schemas.openxmlformats.org/drawingml/2006/picture">
                <pic:pic>
                  <pic:nvPicPr>
                    <pic:cNvPr id="0" name="fig_5_class_domain_model.png"/>
                    <pic:cNvPicPr/>
                  </pic:nvPicPr>
                  <pic:blipFill>
                    <a:blip r:embed="rId15"/>
                    <a:stretch>
                      <a:fillRect/>
                    </a:stretch>
                  </pic:blipFill>
                  <pic:spPr>
                    <a:xfrm>
                      <a:off x="0" y="0"/>
                      <a:ext cx="5577840" cy="4945173"/>
                    </a:xfrm>
                    <a:prstGeom prst="rect"/>
                  </pic:spPr>
                </pic:pic>
              </a:graphicData>
            </a:graphic>
          </wp:inline>
        </w:drawing>
      </w:r>
    </w:p>
    <w:p>
      <w:pPr>
        <w:keepNext w:val="0"/>
        <w:spacing w:before="40" w:after="240"/>
        <w:jc w:val="center"/>
      </w:pPr>
      <w:r>
        <w:rPr>
          <w:rFonts w:ascii="Times New Roman" w:hAnsi="Times New Roman"/>
          <w:b/>
          <w:i/>
          <w:color w:val="475569"/>
          <w:sz w:val="20"/>
        </w:rPr>
        <w:t>Figure 4.5: WORKUP Core Domain Class Model Diagram.</w:t>
      </w:r>
    </w:p>
    <w:p>
      <w:pPr>
        <w:spacing w:line="360" w:lineRule="auto" w:after="120"/>
        <w:jc w:val="both"/>
      </w:pPr>
      <w:r>
        <w:rPr>
          <w:rFonts w:ascii="Times New Roman" w:hAnsi="Times New Roman"/>
          <w:sz w:val="24"/>
        </w:rPr>
        <w:t>The class diagram establishes the structural integrity of the 21 domain entities:</w:t>
      </w:r>
    </w:p>
    <w:p>
      <w:pPr>
        <w:pStyle w:val="ListBullet"/>
        <w:spacing w:line="312" w:lineRule="auto" w:after="80"/>
        <w:jc w:val="both"/>
      </w:pPr>
      <w:r>
        <w:rPr>
          <w:rFonts w:ascii="Times New Roman" w:hAnsi="Times New Roman"/>
          <w:b/>
          <w:sz w:val="24"/>
        </w:rPr>
        <w:t xml:space="preserve">User and Profile: </w:t>
      </w:r>
      <w:r>
        <w:rPr>
          <w:rFonts w:ascii="Times New Roman" w:hAnsi="Times New Roman"/>
          <w:sz w:val="24"/>
        </w:rPr>
        <w:t>A 1-to-1 relationship linking identity, hashed credentials, and role permissions to developer portfolio metadata.</w:t>
      </w:r>
    </w:p>
    <w:p>
      <w:pPr>
        <w:pStyle w:val="ListBullet"/>
        <w:spacing w:line="312" w:lineRule="auto" w:after="80"/>
        <w:jc w:val="both"/>
      </w:pPr>
      <w:r>
        <w:rPr>
          <w:rFonts w:ascii="Times New Roman" w:hAnsi="Times New Roman"/>
          <w:b/>
          <w:sz w:val="24"/>
        </w:rPr>
        <w:t xml:space="preserve">Career Hierarchy (Profession, Role, Skill): </w:t>
      </w:r>
      <w:r>
        <w:rPr>
          <w:rFonts w:ascii="Times New Roman" w:hAnsi="Times New Roman"/>
          <w:sz w:val="24"/>
        </w:rPr>
        <w:t>A 1-to-N hierarchy where professions define specific industry roles, and roles map to normalized technical skills via the RoleSkill associative class.</w:t>
      </w:r>
    </w:p>
    <w:p>
      <w:pPr>
        <w:pStyle w:val="ListBullet"/>
        <w:spacing w:line="312" w:lineRule="auto" w:after="80"/>
        <w:jc w:val="both"/>
      </w:pPr>
      <w:r>
        <w:rPr>
          <w:rFonts w:ascii="Times New Roman" w:hAnsi="Times New Roman"/>
          <w:b/>
          <w:sz w:val="24"/>
        </w:rPr>
        <w:t xml:space="preserve">Company, Team, and Simulation: </w:t>
      </w:r>
      <w:r>
        <w:rPr>
          <w:rFonts w:ascii="Times New Roman" w:hAnsi="Times New Roman"/>
          <w:sz w:val="24"/>
        </w:rPr>
        <w:t>Companies organize functional teams (1-to-N) and sponsor multi-sprint simulations (1-to-N). Each simulation contains ordered sprint phases and granular engineering tasks.</w:t>
      </w:r>
    </w:p>
    <w:p>
      <w:pPr>
        <w:pStyle w:val="ListBullet"/>
        <w:spacing w:line="312" w:lineRule="auto" w:after="80"/>
        <w:jc w:val="both"/>
      </w:pPr>
      <w:r>
        <w:rPr>
          <w:rFonts w:ascii="Times New Roman" w:hAnsi="Times New Roman"/>
          <w:b/>
          <w:sz w:val="24"/>
        </w:rPr>
        <w:t xml:space="preserve">Task, Workspace, and Submission: </w:t>
      </w:r>
      <w:r>
        <w:rPr>
          <w:rFonts w:ascii="Times New Roman" w:hAnsi="Times New Roman"/>
          <w:sz w:val="24"/>
        </w:rPr>
        <w:t>Tasks contextualize execution workspaces (1-to-N) and receive student pull request submissions (1-to-N). Each submission receives exactly one evaluation record containing rubric scores and line-by-line feedback.</w:t>
      </w:r>
    </w:p>
    <w:p>
      <w:pPr>
        <w:keepNext/>
        <w:spacing w:before="280" w:after="100"/>
      </w:pPr>
      <w:r>
        <w:rPr>
          <w:rFonts w:ascii="Times New Roman" w:hAnsi="Times New Roman"/>
          <w:b/>
          <w:color w:val="1E3A8A"/>
          <w:sz w:val="28"/>
        </w:rPr>
        <w:t>4.6 Entity-Relationship (ER) Modeling</w:t>
      </w:r>
    </w:p>
    <w:p>
      <w:pPr>
        <w:spacing w:line="360" w:lineRule="auto" w:after="120"/>
        <w:jc w:val="both"/>
      </w:pPr>
      <w:r>
        <w:rPr>
          <w:rFonts w:ascii="Times New Roman" w:hAnsi="Times New Roman"/>
          <w:sz w:val="24"/>
        </w:rPr>
        <w:t>The Entity-Relationship (ER) Diagram models the relational database schema, depicting primary keys (PK), foreign keys (FK), unique constraints (UQ), and cardinalities. Figure 4.6 presents the ER schema:</w:t>
      </w:r>
    </w:p>
    <w:p>
      <w:pPr>
        <w:keepNext/>
        <w:spacing w:before="240" w:after="80"/>
        <w:jc w:val="center"/>
      </w:pPr>
      <w:r>
        <w:drawing>
          <wp:inline xmlns:a="http://schemas.openxmlformats.org/drawingml/2006/main" xmlns:pic="http://schemas.openxmlformats.org/drawingml/2006/picture">
            <wp:extent cx="5577840" cy="4711753"/>
            <wp:docPr id="6" name="Picture 6"/>
            <wp:cNvGraphicFramePr>
              <a:graphicFrameLocks noChangeAspect="1"/>
            </wp:cNvGraphicFramePr>
            <a:graphic>
              <a:graphicData uri="http://schemas.openxmlformats.org/drawingml/2006/picture">
                <pic:pic>
                  <pic:nvPicPr>
                    <pic:cNvPr id="0" name="fig_6_er_diagram.png"/>
                    <pic:cNvPicPr/>
                  </pic:nvPicPr>
                  <pic:blipFill>
                    <a:blip r:embed="rId16"/>
                    <a:stretch>
                      <a:fillRect/>
                    </a:stretch>
                  </pic:blipFill>
                  <pic:spPr>
                    <a:xfrm>
                      <a:off x="0" y="0"/>
                      <a:ext cx="5577840" cy="4711753"/>
                    </a:xfrm>
                    <a:prstGeom prst="rect"/>
                  </pic:spPr>
                </pic:pic>
              </a:graphicData>
            </a:graphic>
          </wp:inline>
        </w:drawing>
      </w:r>
    </w:p>
    <w:p>
      <w:pPr>
        <w:keepNext w:val="0"/>
        <w:spacing w:before="40" w:after="240"/>
        <w:jc w:val="center"/>
      </w:pPr>
      <w:r>
        <w:rPr>
          <w:rFonts w:ascii="Times New Roman" w:hAnsi="Times New Roman"/>
          <w:b/>
          <w:i/>
          <w:color w:val="475569"/>
          <w:sz w:val="20"/>
        </w:rPr>
        <w:t>Figure 4.6: WORKUP Entity-Relationship (ER) Diagram.</w:t>
      </w:r>
    </w:p>
    <w:p>
      <w:pPr>
        <w:spacing w:line="360" w:lineRule="auto" w:after="120"/>
        <w:jc w:val="both"/>
      </w:pPr>
      <w:r>
        <w:rPr>
          <w:rFonts w:ascii="Times New Roman" w:hAnsi="Times New Roman"/>
          <w:sz w:val="24"/>
        </w:rPr>
        <w:t>The ER model strictly reflects the schema defined in prisma/schema.prisma. All foreign key relationships enforce referential integrity with cascading deletions on dependent child records (e.g., deleting a simulation cascades to its phases and tasks). Join tables (RoleSkill, TaskSkill, TaskDependency) ensure complete relational normalization (3NF) without data redundancy.</w:t>
      </w:r>
    </w:p>
    <w:p>
      <w:pPr>
        <w:keepNext/>
        <w:spacing w:before="280" w:after="100"/>
      </w:pPr>
      <w:r>
        <w:rPr>
          <w:rFonts w:ascii="Times New Roman" w:hAnsi="Times New Roman"/>
          <w:b/>
          <w:color w:val="1E3A8A"/>
          <w:sz w:val="28"/>
        </w:rPr>
        <w:t>4.7 Component Modeling</w:t>
      </w:r>
    </w:p>
    <w:p>
      <w:pPr>
        <w:spacing w:line="360" w:lineRule="auto" w:after="120"/>
        <w:jc w:val="both"/>
      </w:pPr>
      <w:r>
        <w:rPr>
          <w:rFonts w:ascii="Times New Roman" w:hAnsi="Times New Roman"/>
          <w:sz w:val="24"/>
        </w:rPr>
        <w:t>The Component Diagram illustrates the structural organization of software components, source modules, and interface dependencies across the codebase. Figure 4.7 presents this architecture:</w:t>
      </w:r>
    </w:p>
    <w:p>
      <w:pPr>
        <w:keepNext/>
        <w:spacing w:before="240" w:after="80"/>
        <w:jc w:val="center"/>
      </w:pPr>
      <w:r>
        <w:drawing>
          <wp:inline xmlns:a="http://schemas.openxmlformats.org/drawingml/2006/main" xmlns:pic="http://schemas.openxmlformats.org/drawingml/2006/picture">
            <wp:extent cx="5577840" cy="4462272"/>
            <wp:docPr id="7" name="Picture 7"/>
            <wp:cNvGraphicFramePr>
              <a:graphicFrameLocks noChangeAspect="1"/>
            </wp:cNvGraphicFramePr>
            <a:graphic>
              <a:graphicData uri="http://schemas.openxmlformats.org/drawingml/2006/picture">
                <pic:pic>
                  <pic:nvPicPr>
                    <pic:cNvPr id="0" name="fig_7_component_diagram.png"/>
                    <pic:cNvPicPr/>
                  </pic:nvPicPr>
                  <pic:blipFill>
                    <a:blip r:embed="rId17"/>
                    <a:stretch>
                      <a:fillRect/>
                    </a:stretch>
                  </pic:blipFill>
                  <pic:spPr>
                    <a:xfrm>
                      <a:off x="0" y="0"/>
                      <a:ext cx="5577840" cy="4462272"/>
                    </a:xfrm>
                    <a:prstGeom prst="rect"/>
                  </pic:spPr>
                </pic:pic>
              </a:graphicData>
            </a:graphic>
          </wp:inline>
        </w:drawing>
      </w:r>
    </w:p>
    <w:p>
      <w:pPr>
        <w:keepNext w:val="0"/>
        <w:spacing w:before="40" w:after="240"/>
        <w:jc w:val="center"/>
      </w:pPr>
      <w:r>
        <w:rPr>
          <w:rFonts w:ascii="Times New Roman" w:hAnsi="Times New Roman"/>
          <w:b/>
          <w:i/>
          <w:color w:val="475569"/>
          <w:sz w:val="20"/>
        </w:rPr>
        <w:t>Figure 4.7: WORKUP Component Architecture Diagram.</w:t>
      </w:r>
    </w:p>
    <w:p>
      <w:pPr>
        <w:spacing w:line="360" w:lineRule="auto" w:after="120"/>
        <w:jc w:val="both"/>
      </w:pPr>
      <w:r>
        <w:rPr>
          <w:rFonts w:ascii="Times New Roman" w:hAnsi="Times New Roman"/>
          <w:sz w:val="24"/>
        </w:rPr>
        <w:t>The codebase is structured into cohesive, decoupled components:</w:t>
      </w:r>
    </w:p>
    <w:p>
      <w:pPr>
        <w:pStyle w:val="ListBullet"/>
        <w:spacing w:line="312" w:lineRule="auto" w:after="80"/>
        <w:jc w:val="both"/>
      </w:pPr>
      <w:r>
        <w:rPr>
          <w:rFonts w:ascii="Times New Roman" w:hAnsi="Times New Roman"/>
          <w:b/>
          <w:sz w:val="24"/>
        </w:rPr>
        <w:t xml:space="preserve">Presentation Layer (src/components): </w:t>
      </w:r>
      <w:r>
        <w:rPr>
          <w:rFonts w:ascii="Times New Roman" w:hAnsi="Times New Roman"/>
          <w:sz w:val="24"/>
        </w:rPr>
        <w:t>Contains modular React components including navbar.tsx, role-badge.tsx, profession-card.tsx, and simulation-card.tsx.</w:t>
      </w:r>
    </w:p>
    <w:p>
      <w:pPr>
        <w:pStyle w:val="ListBullet"/>
        <w:spacing w:line="312" w:lineRule="auto" w:after="80"/>
        <w:jc w:val="both"/>
      </w:pPr>
      <w:r>
        <w:rPr>
          <w:rFonts w:ascii="Times New Roman" w:hAnsi="Times New Roman"/>
          <w:b/>
          <w:sz w:val="24"/>
        </w:rPr>
        <w:t xml:space="preserve">API Route Handlers (src/app/api): </w:t>
      </w:r>
      <w:r>
        <w:rPr>
          <w:rFonts w:ascii="Times New Roman" w:hAnsi="Times New Roman"/>
          <w:sz w:val="24"/>
        </w:rPr>
        <w:t>Implements RESTful controllers with typed request/response validation envelopes (src/lib/api-response.ts).</w:t>
      </w:r>
    </w:p>
    <w:p>
      <w:pPr>
        <w:pStyle w:val="ListBullet"/>
        <w:spacing w:line="312" w:lineRule="auto" w:after="80"/>
        <w:jc w:val="both"/>
      </w:pPr>
      <w:r>
        <w:rPr>
          <w:rFonts w:ascii="Times New Roman" w:hAnsi="Times New Roman"/>
          <w:b/>
          <w:sz w:val="24"/>
        </w:rPr>
        <w:t xml:space="preserve">Core Services (src/lib): </w:t>
      </w:r>
      <w:r>
        <w:rPr>
          <w:rFonts w:ascii="Times New Roman" w:hAnsi="Times New Roman"/>
          <w:sz w:val="24"/>
        </w:rPr>
        <w:t>Contains singleton infrastructure services: auth.ts, rbac.ts, task-validator.ts, logger.ts, and orchestrator.ts.</w:t>
      </w:r>
    </w:p>
    <w:p>
      <w:pPr>
        <w:pStyle w:val="ListBullet"/>
        <w:spacing w:line="312" w:lineRule="auto" w:after="80"/>
        <w:jc w:val="both"/>
      </w:pPr>
      <w:r>
        <w:rPr>
          <w:rFonts w:ascii="Times New Roman" w:hAnsi="Times New Roman"/>
          <w:b/>
          <w:sz w:val="24"/>
        </w:rPr>
        <w:t xml:space="preserve">Execution Engine (src/lib/workspace): </w:t>
      </w:r>
      <w:r>
        <w:rPr>
          <w:rFonts w:ascii="Times New Roman" w:hAnsi="Times New Roman"/>
          <w:sz w:val="24"/>
        </w:rPr>
        <w:t>Contains the workspace provider interface and the concrete IsolatedSandboxProvider implementation.</w:t>
      </w:r>
    </w:p>
    <w:p>
      <w:pPr>
        <w:keepNext/>
        <w:spacing w:before="280" w:after="100"/>
      </w:pPr>
      <w:r>
        <w:rPr>
          <w:rFonts w:ascii="Times New Roman" w:hAnsi="Times New Roman"/>
          <w:b/>
          <w:color w:val="1E3A8A"/>
          <w:sz w:val="28"/>
        </w:rPr>
        <w:t>4.8 Deployment Modeling</w:t>
      </w:r>
    </w:p>
    <w:p>
      <w:pPr>
        <w:spacing w:line="360" w:lineRule="auto" w:after="120"/>
        <w:jc w:val="both"/>
      </w:pPr>
      <w:r>
        <w:rPr>
          <w:rFonts w:ascii="Times New Roman" w:hAnsi="Times New Roman"/>
          <w:sz w:val="24"/>
        </w:rPr>
        <w:t>The Deployment Diagram depicts the physical and virtual runtime execution nodes, container hosts, and network communication protocols. Figure 4.8 presents the deployment topology:</w:t>
      </w:r>
    </w:p>
    <w:p>
      <w:pPr>
        <w:keepNext/>
        <w:spacing w:before="240" w:after="80"/>
        <w:jc w:val="center"/>
      </w:pPr>
      <w:r>
        <w:drawing>
          <wp:inline xmlns:a="http://schemas.openxmlformats.org/drawingml/2006/main" xmlns:pic="http://schemas.openxmlformats.org/drawingml/2006/picture">
            <wp:extent cx="5577840" cy="4563499"/>
            <wp:docPr id="8" name="Picture 8"/>
            <wp:cNvGraphicFramePr>
              <a:graphicFrameLocks noChangeAspect="1"/>
            </wp:cNvGraphicFramePr>
            <a:graphic>
              <a:graphicData uri="http://schemas.openxmlformats.org/drawingml/2006/picture">
                <pic:pic>
                  <pic:nvPicPr>
                    <pic:cNvPr id="0" name="fig_8_deployment_diagram.png"/>
                    <pic:cNvPicPr/>
                  </pic:nvPicPr>
                  <pic:blipFill>
                    <a:blip r:embed="rId18"/>
                    <a:stretch>
                      <a:fillRect/>
                    </a:stretch>
                  </pic:blipFill>
                  <pic:spPr>
                    <a:xfrm>
                      <a:off x="0" y="0"/>
                      <a:ext cx="5577840" cy="4563499"/>
                    </a:xfrm>
                    <a:prstGeom prst="rect"/>
                  </pic:spPr>
                </pic:pic>
              </a:graphicData>
            </a:graphic>
          </wp:inline>
        </w:drawing>
      </w:r>
    </w:p>
    <w:p>
      <w:pPr>
        <w:keepNext w:val="0"/>
        <w:spacing w:before="40" w:after="240"/>
        <w:jc w:val="center"/>
      </w:pPr>
      <w:r>
        <w:rPr>
          <w:rFonts w:ascii="Times New Roman" w:hAnsi="Times New Roman"/>
          <w:b/>
          <w:i/>
          <w:color w:val="475569"/>
          <w:sz w:val="20"/>
        </w:rPr>
        <w:t>Figure 4.8: WORKUP Deployment Topology Diagram.</w:t>
      </w:r>
    </w:p>
    <w:p>
      <w:pPr>
        <w:spacing w:line="360" w:lineRule="auto" w:after="120"/>
        <w:jc w:val="both"/>
      </w:pPr>
      <w:r>
        <w:rPr>
          <w:rFonts w:ascii="Times New Roman" w:hAnsi="Times New Roman"/>
          <w:sz w:val="24"/>
        </w:rPr>
        <w:t>The deployment model details node interactions: Client browsers communicate with the Next.js server via HTTPS (Port 443). The Next.js server spawns sandboxed execution processes locally via IPC/child_process in Stage-I, while persisting state to SQLite (dev.db) through the Prisma query engine.</w:t>
      </w:r>
    </w:p>
    <w:p>
      <w:pPr>
        <w:keepNext/>
        <w:spacing w:before="280" w:after="100"/>
      </w:pPr>
      <w:r>
        <w:rPr>
          <w:rFonts w:ascii="Times New Roman" w:hAnsi="Times New Roman"/>
          <w:b/>
          <w:color w:val="1E3A8A"/>
          <w:sz w:val="28"/>
        </w:rPr>
        <w:t>4.9 Universal Professional Lifecycle Pipeline</w:t>
      </w:r>
    </w:p>
    <w:p>
      <w:pPr>
        <w:spacing w:line="360" w:lineRule="auto" w:after="120"/>
        <w:jc w:val="both"/>
      </w:pPr>
      <w:r>
        <w:rPr>
          <w:rFonts w:ascii="Times New Roman" w:hAnsi="Times New Roman"/>
          <w:sz w:val="24"/>
        </w:rPr>
        <w:t>Figure 4.9 visualizes the complete fourteen-stage Universal Professional Lifecycle, showing how a student progresses from career selection to verifiable evidence:</w:t>
      </w:r>
    </w:p>
    <w:p>
      <w:pPr>
        <w:keepNext/>
        <w:spacing w:before="240" w:after="80"/>
        <w:jc w:val="center"/>
      </w:pPr>
      <w:r>
        <w:drawing>
          <wp:inline xmlns:a="http://schemas.openxmlformats.org/drawingml/2006/main" xmlns:pic="http://schemas.openxmlformats.org/drawingml/2006/picture">
            <wp:extent cx="5669280" cy="2539003"/>
            <wp:docPr id="9" name="Picture 9"/>
            <wp:cNvGraphicFramePr>
              <a:graphicFrameLocks noChangeAspect="1"/>
            </wp:cNvGraphicFramePr>
            <a:graphic>
              <a:graphicData uri="http://schemas.openxmlformats.org/drawingml/2006/picture">
                <pic:pic>
                  <pic:nvPicPr>
                    <pic:cNvPr id="0" name="fig_9_universal_lifecycle.png"/>
                    <pic:cNvPicPr/>
                  </pic:nvPicPr>
                  <pic:blipFill>
                    <a:blip r:embed="rId19"/>
                    <a:stretch>
                      <a:fillRect/>
                    </a:stretch>
                  </pic:blipFill>
                  <pic:spPr>
                    <a:xfrm>
                      <a:off x="0" y="0"/>
                      <a:ext cx="5669280" cy="2539003"/>
                    </a:xfrm>
                    <a:prstGeom prst="rect"/>
                  </pic:spPr>
                </pic:pic>
              </a:graphicData>
            </a:graphic>
          </wp:inline>
        </w:drawing>
      </w:r>
    </w:p>
    <w:p>
      <w:pPr>
        <w:keepNext w:val="0"/>
        <w:spacing w:before="40" w:after="240"/>
        <w:jc w:val="center"/>
      </w:pPr>
      <w:r>
        <w:rPr>
          <w:rFonts w:ascii="Times New Roman" w:hAnsi="Times New Roman"/>
          <w:b/>
          <w:i/>
          <w:color w:val="475569"/>
          <w:sz w:val="20"/>
        </w:rPr>
        <w:t>Figure 4.9: The Universal Professional Engineering Lifecycle Pipeline.</w:t>
      </w:r>
    </w:p>
    <w:p>
      <w:r>
        <w:br w:type="page"/>
      </w:r>
    </w:p>
    <w:p>
      <w:pPr>
        <w:keepNext/>
        <w:spacing w:before="320" w:after="280"/>
        <w:jc w:val="center"/>
      </w:pPr>
      <w:r>
        <w:rPr>
          <w:rFonts w:ascii="Times New Roman" w:hAnsi="Times New Roman"/>
          <w:b/>
          <w:color w:val="1E3A8A"/>
          <w:sz w:val="32"/>
        </w:rPr>
        <w:t>CHAPTER 5</w:t>
        <w:br/>
        <w:t>MODULES AND FUNCTIONAL DESCRIPTION</w:t>
      </w:r>
    </w:p>
    <w:p>
      <w:pPr>
        <w:keepNext/>
        <w:spacing w:before="280" w:after="100"/>
      </w:pPr>
      <w:r>
        <w:rPr>
          <w:rFonts w:ascii="Times New Roman" w:hAnsi="Times New Roman"/>
          <w:b/>
          <w:color w:val="1E3A8A"/>
          <w:sz w:val="28"/>
        </w:rPr>
        <w:t>5.1 Authentication, Session Management, and RBAC Module</w:t>
      </w:r>
    </w:p>
    <w:p>
      <w:pPr>
        <w:spacing w:line="360" w:lineRule="auto" w:after="120"/>
        <w:jc w:val="both"/>
      </w:pPr>
      <w:r>
        <w:rPr>
          <w:rFonts w:ascii="Times New Roman" w:hAnsi="Times New Roman"/>
          <w:sz w:val="24"/>
        </w:rPr>
        <w:t>The Authentication and RBAC Module (implemented across src/lib/auth.ts, src/lib/rbac.ts, and src/app/api/auth/*) provides enterprise-grade identity and access governance. User credentials are protected using bcryptjs with a work factor of 12 salt rounds, ensuring protection against precomputed dictionary and rainbow table attacks. Authenticated sessions are represented as stateless, cryptographically signed JSON Web Tokens (JWT) using the jose library. Tokens are transported exclusively via HTTP-only, secure, SameSite=Lax cookies, eliminating vulnerability to Cross-Site Scripting (XSS) token exfiltration.</w:t>
      </w:r>
    </w:p>
    <w:p>
      <w:pPr>
        <w:spacing w:line="360" w:lineRule="auto" w:after="120"/>
        <w:jc w:val="both"/>
      </w:pPr>
      <w:r>
        <w:rPr>
          <w:rFonts w:ascii="Times New Roman" w:hAnsi="Times New Roman"/>
          <w:sz w:val="24"/>
        </w:rPr>
        <w:t>Authorization is governed by a centralized Role-Based Access Control matrix defining granular permissions across four platform roles: student, content_author, reviewer, and administrator. Route-level middleware and API guard functions (requireAuth, requireRole) validate user permissions prior to executing any sensitive business logic or database mutation.</w:t>
      </w:r>
    </w:p>
    <w:p>
      <w:pPr>
        <w:keepNext/>
        <w:spacing w:before="280" w:after="100"/>
      </w:pPr>
      <w:r>
        <w:rPr>
          <w:rFonts w:ascii="Times New Roman" w:hAnsi="Times New Roman"/>
          <w:b/>
          <w:color w:val="1E3A8A"/>
          <w:sz w:val="28"/>
        </w:rPr>
        <w:t>5.2 Career, Profession, and Role Explorer Module</w:t>
      </w:r>
    </w:p>
    <w:p>
      <w:pPr>
        <w:spacing w:line="360" w:lineRule="auto" w:after="120"/>
        <w:jc w:val="both"/>
      </w:pPr>
      <w:r>
        <w:rPr>
          <w:rFonts w:ascii="Times New Roman" w:hAnsi="Times New Roman"/>
          <w:sz w:val="24"/>
        </w:rPr>
        <w:t>The Career and Role Explorer Module (src/app/careers/page.tsx, src/app/api/professions/route.ts) provides a domain-agnostic catalog of high-level career families, engineering disciplines, and specialized corporate roles. Each profession (e.g., Software Engineering, AI &amp; Machine Learning, Cloud &amp; DevOps, Cybersecurity) links to granular job titles (e.g., Junior Backend Engineer, Associate MLOps Engineer). Each role presents explicit market demand metrics, typical enterprise responsibilities, and mapped technical skills (e.g., Fastify, Vitest, Docker, MLflow), enabling learners to explore structured professional pathways.</w:t>
      </w:r>
    </w:p>
    <w:p>
      <w:pPr>
        <w:keepNext/>
        <w:spacing w:before="280" w:after="100"/>
      </w:pPr>
      <w:r>
        <w:rPr>
          <w:rFonts w:ascii="Times New Roman" w:hAnsi="Times New Roman"/>
          <w:b/>
          <w:color w:val="1E3A8A"/>
          <w:sz w:val="28"/>
        </w:rPr>
        <w:t>5.3 Simulated Enterprise Companies, Teams, and Projects Module</w:t>
      </w:r>
    </w:p>
    <w:p>
      <w:pPr>
        <w:spacing w:line="360" w:lineRule="auto" w:after="120"/>
        <w:jc w:val="both"/>
      </w:pPr>
      <w:r>
        <w:rPr>
          <w:rFonts w:ascii="Times New Roman" w:hAnsi="Times New Roman"/>
          <w:sz w:val="24"/>
        </w:rPr>
        <w:t>To overcome the decontextualized nature of traditional coding platforms, this module models realistic corporate employers (such as FinFlow Technologies and OmniRetail Marketplace) in the Company and Team database entities. Each company includes architectural overviews, technology stacks, corporate cultures, and functional engineering teams (e.g., Core Payments Platform, ML Platform &amp; Governance). Team charters define lead engineers, communication channels, and coding standards, providing authentic organizational context for learner immersion.</w:t>
      </w:r>
    </w:p>
    <w:p>
      <w:pPr>
        <w:keepNext/>
        <w:spacing w:before="280" w:after="100"/>
      </w:pPr>
      <w:r>
        <w:rPr>
          <w:rFonts w:ascii="Times New Roman" w:hAnsi="Times New Roman"/>
          <w:b/>
          <w:color w:val="1E3A8A"/>
          <w:sz w:val="28"/>
        </w:rPr>
        <w:t>5.4 Simulation Content Engine, Task Backlog, and DAG Module</w:t>
      </w:r>
    </w:p>
    <w:p>
      <w:pPr>
        <w:spacing w:line="360" w:lineRule="auto" w:after="120"/>
        <w:jc w:val="both"/>
      </w:pPr>
      <w:r>
        <w:rPr>
          <w:rFonts w:ascii="Times New Roman" w:hAnsi="Times New Roman"/>
          <w:sz w:val="24"/>
        </w:rPr>
        <w:t>The Simulation Content Engine (src/lib/validation/task-validator.ts, prisma/schema.prisma) structures engineering projects into cohesive business problem tracks composed of sprint phases and granular task tickets. Tasks feature realistic ticket keys (e.g., FF-104), business context descriptions, acceptance criteria, and Architecture Decision Records (ADRs). Task dependencies are enforced through a Directed Acyclic Graph (DAG) engine supporting PREREQUISITE, SEQUENTIAL, and BRANCHING dependencies with conditional unlock rules (e.g., requiring a minimum rubric score on a preceding task).</w:t>
      </w:r>
    </w:p>
    <w:p>
      <w:pPr>
        <w:keepNext/>
        <w:spacing w:before="280" w:after="100"/>
      </w:pPr>
      <w:r>
        <w:rPr>
          <w:rFonts w:ascii="Times New Roman" w:hAnsi="Times New Roman"/>
          <w:b/>
          <w:color w:val="1E3A8A"/>
          <w:sz w:val="28"/>
        </w:rPr>
        <w:t>5.5 Student Workstation, Workbench UI, and Profile Module</w:t>
      </w:r>
    </w:p>
    <w:p>
      <w:pPr>
        <w:spacing w:line="360" w:lineRule="auto" w:after="120"/>
        <w:jc w:val="both"/>
      </w:pPr>
      <w:r>
        <w:rPr>
          <w:rFonts w:ascii="Times New Roman" w:hAnsi="Times New Roman"/>
          <w:sz w:val="24"/>
        </w:rPr>
        <w:t>The Student Workstation (src/app/dashboard/page.tsx, src/app/workspaces/[id]/page.tsx) provides a unified, distraction-free digital workplace. Learners view their active simulations, sprint backlogs, task details, and execution terminals. The Workbench UI integrates an in-browser code editor, file explorer, automated test trigger buttons, and real-time execution logs. The Developer Profile module (src/app/profile/page.tsx) showcases the learner's bio, experience level, GitHub/LinkedIn links, and verified skills.</w:t>
      </w:r>
    </w:p>
    <w:p>
      <w:pPr>
        <w:keepNext/>
        <w:spacing w:before="280" w:after="100"/>
      </w:pPr>
      <w:r>
        <w:rPr>
          <w:rFonts w:ascii="Times New Roman" w:hAnsi="Times New Roman"/>
          <w:b/>
          <w:color w:val="1E3A8A"/>
          <w:sz w:val="28"/>
        </w:rPr>
        <w:t>5.6 Cloud Workspace Orchestration and Sandbox Provider Module</w:t>
      </w:r>
    </w:p>
    <w:p>
      <w:pPr>
        <w:spacing w:line="360" w:lineRule="auto" w:after="120"/>
        <w:jc w:val="both"/>
      </w:pPr>
      <w:r>
        <w:rPr>
          <w:rFonts w:ascii="Times New Roman" w:hAnsi="Times New Roman"/>
          <w:sz w:val="24"/>
        </w:rPr>
        <w:t>The Workspace Orchestration Subsystem (src/lib/workspace/orchestrator.ts, src/lib/workspace/providers/sandbox-provider.ts) manages the complete lifecycle of isolated execution environments through explicit state transitions: Requested → Provisioning → Ready → Running → Idle → Stopping → Destroyed. The orchestrator enforces a hard concurrency limit of two active workspaces per student and initiates automated termination upon 30 minutes of inactivity.</w:t>
      </w:r>
    </w:p>
    <w:p>
      <w:pPr>
        <w:spacing w:line="360" w:lineRule="auto" w:after="120"/>
        <w:jc w:val="both"/>
      </w:pPr>
      <w:r>
        <w:rPr>
          <w:rFonts w:ascii="Times New Roman" w:hAnsi="Times New Roman"/>
          <w:sz w:val="24"/>
        </w:rPr>
        <w:t>In Stage-I, execution isolation is delivered by the IsolatedSandboxProvider. The provider jails processes within dedicated .workspaces/&lt;workspaceId&gt; directories, sanitizes file paths to prevent directory traversal attacks, and enforces a hard execution timeout of 4000 milliseconds on spawned child processes, protecting the host system against infinite loops and resource exhaustion.</w:t>
      </w:r>
    </w:p>
    <w:p>
      <w:pPr>
        <w:keepNext/>
        <w:spacing w:before="280" w:after="100"/>
      </w:pPr>
      <w:r>
        <w:rPr>
          <w:rFonts w:ascii="Times New Roman" w:hAnsi="Times New Roman"/>
          <w:b/>
          <w:color w:val="1E3A8A"/>
          <w:sz w:val="28"/>
        </w:rPr>
        <w:t>5.7 Task Implementation, In-Sandbox Test Execution, and Snapshot Module</w:t>
      </w:r>
    </w:p>
    <w:p>
      <w:pPr>
        <w:spacing w:line="360" w:lineRule="auto" w:after="120"/>
        <w:jc w:val="both"/>
      </w:pPr>
      <w:r>
        <w:rPr>
          <w:rFonts w:ascii="Times New Roman" w:hAnsi="Times New Roman"/>
          <w:sz w:val="24"/>
        </w:rPr>
        <w:t>Within the isolated sandbox, learners implement solutions modifying repository templates. The in-sandbox test runner (src/app/api/workspaces/[id]/test/route.ts) executes automated test commands (e.g. npm test / vitest run) directly inside the sandboxed directory, streaming structured test summary envelopes (passed tests, failed tests, execution duration) to the client UI. Upon completion, the snapshot engine captures file state and generates Git unified diffs against the baseline template repository.</w:t>
      </w:r>
    </w:p>
    <w:p>
      <w:pPr>
        <w:keepNext/>
        <w:spacing w:before="280" w:after="100"/>
      </w:pPr>
      <w:r>
        <w:rPr>
          <w:rFonts w:ascii="Times New Roman" w:hAnsi="Times New Roman"/>
          <w:b/>
          <w:color w:val="1E3A8A"/>
          <w:sz w:val="28"/>
        </w:rPr>
        <w:t>5.8 Multi-Tier Evaluation, Rubric Scoring, and AI Tech Lead Reviewer Module</w:t>
      </w:r>
    </w:p>
    <w:p>
      <w:pPr>
        <w:spacing w:line="360" w:lineRule="auto" w:after="120"/>
        <w:jc w:val="both"/>
      </w:pPr>
      <w:r>
        <w:rPr>
          <w:rFonts w:ascii="Times New Roman" w:hAnsi="Times New Roman"/>
          <w:sz w:val="24"/>
        </w:rPr>
        <w:t>When a student submits a pull request (src/app/api/workspaces/[id]/submit/route.ts), the submission is evaluated across deterministic automated test passes and multi-dimensional rubrics. In Stage-I, evaluation records capture numerical scores (0–100), rubric criteria breakdowns, and structured markdown feedback. In Stage-II, this module is augmented by an automated AI Tech Lead agent that analyzes unified diffs to provide line-anchored comments evaluating architectural compliance, edge-case coverage, and code maintainability.</w:t>
      </w:r>
    </w:p>
    <w:p>
      <w:pPr>
        <w:keepNext/>
        <w:spacing w:before="280" w:after="100"/>
      </w:pPr>
      <w:r>
        <w:rPr>
          <w:rFonts w:ascii="Times New Roman" w:hAnsi="Times New Roman"/>
          <w:b/>
          <w:color w:val="1E3A8A"/>
          <w:sz w:val="28"/>
        </w:rPr>
        <w:t>5.9 Cryptographically Verifiable Portfolio and Evidence-of-Skill Module</w:t>
      </w:r>
    </w:p>
    <w:p>
      <w:pPr>
        <w:spacing w:line="360" w:lineRule="auto" w:after="120"/>
        <w:jc w:val="both"/>
      </w:pPr>
      <w:r>
        <w:rPr>
          <w:rFonts w:ascii="Times New Roman" w:hAnsi="Times New Roman"/>
          <w:sz w:val="24"/>
        </w:rPr>
        <w:t>To eliminate unverified certificate claims, the Portfolio Module compiles completed simulations into an immutable Evidence-of-Skill Dossier (PortfolioItem). The dossier encapsulates verified Git commit SHAs, test execution logs, reviewer rubric scores, and repository links. This tamper-evident dossier provides prospective employers and academic evaluators with verifiable proof of genuine technical ability.</w:t>
      </w:r>
    </w:p>
    <w:p>
      <w:pPr>
        <w:keepNext/>
        <w:spacing w:before="280" w:after="100"/>
      </w:pPr>
      <w:r>
        <w:rPr>
          <w:rFonts w:ascii="Times New Roman" w:hAnsi="Times New Roman"/>
          <w:b/>
          <w:color w:val="1E3A8A"/>
          <w:sz w:val="28"/>
        </w:rPr>
        <w:t>5.10 Content Authoring Studio and Administrative Governance Module</w:t>
      </w:r>
    </w:p>
    <w:p>
      <w:pPr>
        <w:spacing w:line="360" w:lineRule="auto" w:after="120"/>
        <w:jc w:val="both"/>
      </w:pPr>
      <w:r>
        <w:rPr>
          <w:rFonts w:ascii="Times New Roman" w:hAnsi="Times New Roman"/>
          <w:sz w:val="24"/>
        </w:rPr>
        <w:t>The Content Authoring and Admin Studio (src/tests/admin-authoring.test.ts, src/app/admin/page.tsx) allows content authors and administrators to dynamically author simulations, configure DevContainer specifications, establish task dependency DAGs, and define acceptance test suites. Comprehensive validation schemas ensure that simulations cannot be published with cyclical dependencies or missing test harnesses.</w:t>
      </w:r>
    </w:p>
    <w:p>
      <w:pPr>
        <w:keepNext/>
        <w:spacing w:before="280" w:after="100"/>
      </w:pPr>
      <w:r>
        <w:rPr>
          <w:rFonts w:ascii="Times New Roman" w:hAnsi="Times New Roman"/>
          <w:b/>
          <w:color w:val="1E3A8A"/>
          <w:sz w:val="28"/>
        </w:rPr>
        <w:t>5.11 Platform Auditing, Telemetry, and Fleet Monitoring Module</w:t>
      </w:r>
    </w:p>
    <w:p>
      <w:pPr>
        <w:spacing w:line="360" w:lineRule="auto" w:after="120"/>
        <w:jc w:val="both"/>
      </w:pPr>
      <w:r>
        <w:rPr>
          <w:rFonts w:ascii="Times New Roman" w:hAnsi="Times New Roman"/>
          <w:sz w:val="24"/>
        </w:rPr>
        <w:t>The Platform Auditing Module (prisma/schema.prisma: AuditLog, src/lib/logger.ts) records all critical system events — including user registrations, workspace launches, command executions, and pull request submissions — into an append-only audit table with IP addresses, timestamps, and JSON metadata. The fleet monitoring interface displays aggregate active workspace counts, CPU/RAM utilization, and system error rates.</w:t>
      </w:r>
    </w:p>
    <w:p>
      <w:r>
        <w:br w:type="page"/>
      </w:r>
    </w:p>
    <w:p>
      <w:pPr>
        <w:keepNext/>
        <w:spacing w:before="320" w:after="280"/>
        <w:jc w:val="center"/>
      </w:pPr>
      <w:r>
        <w:rPr>
          <w:rFonts w:ascii="Times New Roman" w:hAnsi="Times New Roman"/>
          <w:b/>
          <w:color w:val="1E3A8A"/>
          <w:sz w:val="32"/>
        </w:rPr>
        <w:t>CHAPTER 6</w:t>
        <w:br/>
        <w:t>IMPLEMENTATION PLAN AND EXPECTED OUTCOMES</w:t>
      </w:r>
    </w:p>
    <w:p>
      <w:pPr>
        <w:keepNext/>
        <w:spacing w:before="280" w:after="100"/>
      </w:pPr>
      <w:r>
        <w:rPr>
          <w:rFonts w:ascii="Times New Roman" w:hAnsi="Times New Roman"/>
          <w:b/>
          <w:color w:val="1E3A8A"/>
          <w:sz w:val="28"/>
        </w:rPr>
        <w:t>6.1 Current Implementation Status</w:t>
      </w:r>
    </w:p>
    <w:p>
      <w:pPr>
        <w:spacing w:line="360" w:lineRule="auto" w:after="120"/>
        <w:jc w:val="both"/>
      </w:pPr>
      <w:r>
        <w:rPr>
          <w:rFonts w:ascii="Times New Roman" w:hAnsi="Times New Roman"/>
          <w:sz w:val="24"/>
        </w:rPr>
        <w:t>Major Project Stage-I has successfully established the complete core foundation of WORKUP, verified directly through source code inspection and automated test execution. The verified achievements include:</w:t>
      </w:r>
    </w:p>
    <w:p>
      <w:pPr>
        <w:pStyle w:val="ListBullet"/>
        <w:spacing w:line="312" w:lineRule="auto" w:after="80"/>
        <w:jc w:val="both"/>
      </w:pPr>
      <w:r>
        <w:rPr>
          <w:rFonts w:ascii="Times New Roman" w:hAnsi="Times New Roman"/>
          <w:b/>
          <w:sz w:val="24"/>
        </w:rPr>
        <w:t xml:space="preserve">Full-Stack Web Architecture: </w:t>
      </w:r>
      <w:r>
        <w:rPr>
          <w:rFonts w:ascii="Times New Roman" w:hAnsi="Times New Roman"/>
          <w:sz w:val="24"/>
        </w:rPr>
        <w:t>Production Next.js 14 App Router application with React 18, TypeScript, and Tailwind CSS.</w:t>
      </w:r>
    </w:p>
    <w:p>
      <w:pPr>
        <w:pStyle w:val="ListBullet"/>
        <w:spacing w:line="312" w:lineRule="auto" w:after="80"/>
        <w:jc w:val="both"/>
      </w:pPr>
      <w:r>
        <w:rPr>
          <w:rFonts w:ascii="Times New Roman" w:hAnsi="Times New Roman"/>
          <w:b/>
          <w:sz w:val="24"/>
        </w:rPr>
        <w:t xml:space="preserve">Relational Domain Schema: </w:t>
      </w:r>
      <w:r>
        <w:rPr>
          <w:rFonts w:ascii="Times New Roman" w:hAnsi="Times New Roman"/>
          <w:sz w:val="24"/>
        </w:rPr>
        <w:t>21 verified Prisma models encompassing careers, roles, skills, companies, teams, simulations, tasks, workspaces, submissions, evaluations, and audit logs.</w:t>
      </w:r>
    </w:p>
    <w:p>
      <w:pPr>
        <w:pStyle w:val="ListBullet"/>
        <w:spacing w:line="312" w:lineRule="auto" w:after="80"/>
        <w:jc w:val="both"/>
      </w:pPr>
      <w:r>
        <w:rPr>
          <w:rFonts w:ascii="Times New Roman" w:hAnsi="Times New Roman"/>
          <w:b/>
          <w:sz w:val="24"/>
        </w:rPr>
        <w:t xml:space="preserve">Authentication &amp; RBAC: </w:t>
      </w:r>
      <w:r>
        <w:rPr>
          <w:rFonts w:ascii="Times New Roman" w:hAnsi="Times New Roman"/>
          <w:sz w:val="24"/>
        </w:rPr>
        <w:t>Complete bcryptjs password hashing, signed JWT cookie sessions, and a 4-tier permission matrix.</w:t>
      </w:r>
    </w:p>
    <w:p>
      <w:pPr>
        <w:pStyle w:val="ListBullet"/>
        <w:spacing w:line="312" w:lineRule="auto" w:after="80"/>
        <w:jc w:val="both"/>
      </w:pPr>
      <w:r>
        <w:rPr>
          <w:rFonts w:ascii="Times New Roman" w:hAnsi="Times New Roman"/>
          <w:b/>
          <w:sz w:val="24"/>
        </w:rPr>
        <w:t xml:space="preserve">Workspace Orchestration &amp; Sandboxing: </w:t>
      </w:r>
      <w:r>
        <w:rPr>
          <w:rFonts w:ascii="Times New Roman" w:hAnsi="Times New Roman"/>
          <w:sz w:val="24"/>
        </w:rPr>
        <w:t>Implemented orchestrator service managing workspace lifecycles, concurrency caps (max 2/user), and directory-jailed process execution with 4000ms timeout enforcement.</w:t>
      </w:r>
    </w:p>
    <w:p>
      <w:pPr>
        <w:pStyle w:val="ListBullet"/>
        <w:spacing w:line="312" w:lineRule="auto" w:after="80"/>
        <w:jc w:val="both"/>
      </w:pPr>
      <w:r>
        <w:rPr>
          <w:rFonts w:ascii="Times New Roman" w:hAnsi="Times New Roman"/>
          <w:b/>
          <w:sz w:val="24"/>
        </w:rPr>
        <w:t xml:space="preserve">Empirical Automated Testing: </w:t>
      </w:r>
      <w:r>
        <w:rPr>
          <w:rFonts w:ascii="Times New Roman" w:hAnsi="Times New Roman"/>
          <w:sz w:val="24"/>
        </w:rPr>
        <w:t>34 passing automated tests across 8 test suites in Vitest, validating auth, RBAC, domain constraints, sandbox isolation, and task validation with 100% pass rate.</w:t>
      </w:r>
    </w:p>
    <w:p>
      <w:pPr>
        <w:keepNext/>
        <w:spacing w:before="280" w:after="100"/>
      </w:pPr>
      <w:r>
        <w:rPr>
          <w:rFonts w:ascii="Times New Roman" w:hAnsi="Times New Roman"/>
          <w:b/>
          <w:color w:val="1E3A8A"/>
          <w:sz w:val="28"/>
        </w:rPr>
        <w:t>6.2 Phased Milestone Roadmap (Phases 0 through 12)</w:t>
      </w:r>
    </w:p>
    <w:p>
      <w:pPr>
        <w:spacing w:line="360" w:lineRule="auto" w:after="120"/>
        <w:jc w:val="both"/>
      </w:pPr>
      <w:r>
        <w:rPr>
          <w:rFonts w:ascii="Times New Roman" w:hAnsi="Times New Roman"/>
          <w:sz w:val="24"/>
        </w:rPr>
        <w:t>The engineering lifecycle of WORKUP is structured across thirteen sequential phases spanning Stage-I and Stage-II. Table 6.1 delineates the complete milestone schedule:</w:t>
      </w:r>
    </w:p>
    <w:p>
      <w:pPr>
        <w:spacing w:before="160" w:after="40"/>
        <w:jc w:val="center"/>
      </w:pPr>
      <w:r>
        <w:rPr>
          <w:rFonts w:ascii="Times New Roman" w:hAnsi="Times New Roman"/>
          <w:b/>
          <w:i/>
          <w:color w:val="1E3A8A"/>
          <w:sz w:val="20"/>
        </w:rPr>
        <w:t>Table 6.1: Phased Milestone Implementation Roadmap (Phases 0 through 12).</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06"/>
        <w:gridCol w:w="1806"/>
        <w:gridCol w:w="1806"/>
        <w:gridCol w:w="1806"/>
        <w:gridCol w:w="1806"/>
      </w:tblGrid>
      <w:tr>
        <w:tc>
          <w:tcPr>
            <w:tcW w:type="dxa" w:w="1296"/>
            <w:shd w:fill="1e3a8a"/>
            <w:tcMar>
              <w:top w:w="70" w:type="dxa"/>
              <w:bottom w:w="70" w:type="dxa"/>
              <w:left w:w="60" w:type="dxa"/>
              <w:right w:w="60" w:type="dxa"/>
            </w:tcMar>
          </w:tcPr>
          <w:p>
            <w:pPr>
              <w:spacing w:after="0"/>
              <w:jc w:val="center"/>
            </w:pPr>
            <w:r>
              <w:rPr>
                <w:rFonts w:ascii="Times New Roman" w:hAnsi="Times New Roman"/>
                <w:b/>
                <w:color w:val="FFFFFF"/>
                <w:sz w:val="19"/>
              </w:rPr>
              <w:t>Phase</w:t>
            </w:r>
          </w:p>
        </w:tc>
        <w:tc>
          <w:tcPr>
            <w:tcW w:type="dxa" w:w="2592"/>
            <w:shd w:fill="1e3a8a"/>
            <w:tcMar>
              <w:top w:w="70" w:type="dxa"/>
              <w:bottom w:w="70" w:type="dxa"/>
              <w:left w:w="60" w:type="dxa"/>
              <w:right w:w="60" w:type="dxa"/>
            </w:tcMar>
          </w:tcPr>
          <w:p>
            <w:pPr>
              <w:spacing w:after="0"/>
              <w:jc w:val="center"/>
            </w:pPr>
            <w:r>
              <w:rPr>
                <w:rFonts w:ascii="Times New Roman" w:hAnsi="Times New Roman"/>
                <w:b/>
                <w:color w:val="FFFFFF"/>
                <w:sz w:val="19"/>
              </w:rPr>
              <w:t>Milestone Designation</w:t>
            </w:r>
          </w:p>
        </w:tc>
        <w:tc>
          <w:tcPr>
            <w:tcW w:type="dxa" w:w="3168"/>
            <w:shd w:fill="1e3a8a"/>
            <w:tcMar>
              <w:top w:w="70" w:type="dxa"/>
              <w:bottom w:w="70" w:type="dxa"/>
              <w:left w:w="60" w:type="dxa"/>
              <w:right w:w="60" w:type="dxa"/>
            </w:tcMar>
          </w:tcPr>
          <w:p>
            <w:pPr>
              <w:spacing w:after="0"/>
              <w:jc w:val="center"/>
            </w:pPr>
            <w:r>
              <w:rPr>
                <w:rFonts w:ascii="Times New Roman" w:hAnsi="Times New Roman"/>
                <w:b/>
                <w:color w:val="FFFFFF"/>
                <w:sz w:val="19"/>
              </w:rPr>
              <w:t>Key Deliverables &amp; Scope</w:t>
            </w:r>
          </w:p>
        </w:tc>
        <w:tc>
          <w:tcPr>
            <w:tcW w:type="dxa" w:w="1152"/>
            <w:shd w:fill="1e3a8a"/>
            <w:tcMar>
              <w:top w:w="70" w:type="dxa"/>
              <w:bottom w:w="70" w:type="dxa"/>
              <w:left w:w="60" w:type="dxa"/>
              <w:right w:w="60" w:type="dxa"/>
            </w:tcMar>
          </w:tcPr>
          <w:p>
            <w:pPr>
              <w:spacing w:after="0"/>
              <w:jc w:val="center"/>
            </w:pPr>
            <w:r>
              <w:rPr>
                <w:rFonts w:ascii="Times New Roman" w:hAnsi="Times New Roman"/>
                <w:b/>
                <w:color w:val="FFFFFF"/>
                <w:sz w:val="19"/>
              </w:rPr>
              <w:t>Status</w:t>
            </w:r>
          </w:p>
        </w:tc>
        <w:tc>
          <w:tcPr>
            <w:tcW w:type="dxa" w:w="821"/>
            <w:shd w:fill="1e3a8a"/>
            <w:tcMar>
              <w:top w:w="70" w:type="dxa"/>
              <w:bottom w:w="70" w:type="dxa"/>
              <w:left w:w="60" w:type="dxa"/>
              <w:right w:w="60" w:type="dxa"/>
            </w:tcMar>
          </w:tcPr>
          <w:p>
            <w:pPr>
              <w:spacing w:after="0"/>
              <w:jc w:val="center"/>
            </w:pPr>
            <w:r>
              <w:rPr>
                <w:rFonts w:ascii="Times New Roman" w:hAnsi="Times New Roman"/>
                <w:b/>
                <w:color w:val="FFFFFF"/>
                <w:sz w:val="19"/>
              </w:rPr>
              <w:t>Stage</w:t>
            </w:r>
          </w:p>
        </w:tc>
      </w:tr>
      <w:tr>
        <w:tc>
          <w:tcPr>
            <w:tcW w:type="dxa" w:w="1296"/>
            <w:shd w:fill="ffffff"/>
            <w:tcMar>
              <w:top w:w="50" w:type="dxa"/>
              <w:bottom w:w="50" w:type="dxa"/>
              <w:left w:w="50" w:type="dxa"/>
              <w:right w:w="50" w:type="dxa"/>
            </w:tcMar>
          </w:tcPr>
          <w:p>
            <w:pPr>
              <w:spacing w:line="276" w:lineRule="auto" w:after="0"/>
            </w:pPr>
            <w:r>
              <w:rPr>
                <w:rFonts w:ascii="Times New Roman" w:hAnsi="Times New Roman"/>
                <w:b/>
                <w:color w:val="1E3A8A"/>
                <w:sz w:val="17"/>
              </w:rPr>
              <w:t>Phase 0</w:t>
            </w:r>
          </w:p>
        </w:tc>
        <w:tc>
          <w:tcPr>
            <w:tcW w:type="dxa" w:w="2592"/>
            <w:shd w:fill="ffffff"/>
            <w:tcMar>
              <w:top w:w="50" w:type="dxa"/>
              <w:bottom w:w="50" w:type="dxa"/>
              <w:left w:w="50" w:type="dxa"/>
              <w:right w:w="50" w:type="dxa"/>
            </w:tcMar>
          </w:tcPr>
          <w:p>
            <w:pPr>
              <w:spacing w:line="276" w:lineRule="auto" w:after="0"/>
            </w:pPr>
            <w:r>
              <w:rPr>
                <w:rFonts w:ascii="Times New Roman" w:hAnsi="Times New Roman"/>
                <w:b/>
                <w:color w:val="0F172A"/>
                <w:sz w:val="17"/>
              </w:rPr>
              <w:t>Research &amp; Product Validation</w:t>
            </w:r>
          </w:p>
        </w:tc>
        <w:tc>
          <w:tcPr>
            <w:tcW w:type="dxa" w:w="3168"/>
            <w:shd w:fill="ffffff"/>
            <w:tcMar>
              <w:top w:w="50" w:type="dxa"/>
              <w:bottom w:w="50" w:type="dxa"/>
              <w:left w:w="50" w:type="dxa"/>
              <w:right w:w="50" w:type="dxa"/>
            </w:tcMar>
          </w:tcPr>
          <w:p>
            <w:pPr>
              <w:spacing w:line="276" w:lineRule="auto" w:after="0"/>
            </w:pPr>
            <w:r>
              <w:rPr>
                <w:rFonts w:ascii="Times New Roman" w:hAnsi="Times New Roman"/>
                <w:sz w:val="17"/>
              </w:rPr>
              <w:t>Market positioning, pedagogical framework, 50-point master spec.</w:t>
            </w:r>
          </w:p>
        </w:tc>
        <w:tc>
          <w:tcPr>
            <w:tcW w:type="dxa" w:w="1152"/>
            <w:shd w:fill="ffffff"/>
            <w:tcMar>
              <w:top w:w="50" w:type="dxa"/>
              <w:bottom w:w="50" w:type="dxa"/>
              <w:left w:w="50" w:type="dxa"/>
              <w:right w:w="50" w:type="dxa"/>
            </w:tcMar>
          </w:tcPr>
          <w:p>
            <w:pPr>
              <w:spacing w:line="276" w:lineRule="auto" w:after="0"/>
            </w:pPr>
            <w:r>
              <w:rPr>
                <w:rFonts w:ascii="Times New Roman" w:hAnsi="Times New Roman"/>
                <w:b/>
                <w:color w:val="059669"/>
                <w:sz w:val="17"/>
              </w:rPr>
              <w:t>Completed</w:t>
            </w:r>
          </w:p>
        </w:tc>
        <w:tc>
          <w:tcPr>
            <w:tcW w:type="dxa" w:w="821"/>
            <w:shd w:fill="ffffff"/>
            <w:tcMar>
              <w:top w:w="50" w:type="dxa"/>
              <w:bottom w:w="50" w:type="dxa"/>
              <w:left w:w="50" w:type="dxa"/>
              <w:right w:w="50" w:type="dxa"/>
            </w:tcMar>
          </w:tcPr>
          <w:p>
            <w:pPr>
              <w:spacing w:line="276" w:lineRule="auto" w:after="0"/>
            </w:pPr>
            <w:r>
              <w:rPr>
                <w:rFonts w:ascii="Times New Roman" w:hAnsi="Times New Roman"/>
                <w:sz w:val="17"/>
              </w:rPr>
              <w:t>Stage-I</w:t>
            </w:r>
          </w:p>
        </w:tc>
      </w:tr>
      <w:tr>
        <w:tc>
          <w:tcPr>
            <w:tcW w:type="dxa" w:w="1296"/>
            <w:shd w:fill="f8fafc"/>
            <w:tcMar>
              <w:top w:w="50" w:type="dxa"/>
              <w:bottom w:w="50" w:type="dxa"/>
              <w:left w:w="50" w:type="dxa"/>
              <w:right w:w="50" w:type="dxa"/>
            </w:tcMar>
          </w:tcPr>
          <w:p>
            <w:pPr>
              <w:spacing w:line="276" w:lineRule="auto" w:after="0"/>
            </w:pPr>
            <w:r>
              <w:rPr>
                <w:rFonts w:ascii="Times New Roman" w:hAnsi="Times New Roman"/>
                <w:b/>
                <w:color w:val="1E3A8A"/>
                <w:sz w:val="17"/>
              </w:rPr>
              <w:t>Phase 1</w:t>
            </w:r>
          </w:p>
        </w:tc>
        <w:tc>
          <w:tcPr>
            <w:tcW w:type="dxa" w:w="2592"/>
            <w:shd w:fill="f8fafc"/>
            <w:tcMar>
              <w:top w:w="50" w:type="dxa"/>
              <w:bottom w:w="50" w:type="dxa"/>
              <w:left w:w="50" w:type="dxa"/>
              <w:right w:w="50" w:type="dxa"/>
            </w:tcMar>
          </w:tcPr>
          <w:p>
            <w:pPr>
              <w:spacing w:line="276" w:lineRule="auto" w:after="0"/>
            </w:pPr>
            <w:r>
              <w:rPr>
                <w:rFonts w:ascii="Times New Roman" w:hAnsi="Times New Roman"/>
                <w:b/>
                <w:color w:val="0F172A"/>
                <w:sz w:val="17"/>
              </w:rPr>
              <w:t>Application Foundation &amp; Auth</w:t>
            </w:r>
          </w:p>
        </w:tc>
        <w:tc>
          <w:tcPr>
            <w:tcW w:type="dxa" w:w="3168"/>
            <w:shd w:fill="f8fafc"/>
            <w:tcMar>
              <w:top w:w="50" w:type="dxa"/>
              <w:bottom w:w="50" w:type="dxa"/>
              <w:left w:w="50" w:type="dxa"/>
              <w:right w:w="50" w:type="dxa"/>
            </w:tcMar>
          </w:tcPr>
          <w:p>
            <w:pPr>
              <w:spacing w:line="276" w:lineRule="auto" w:after="0"/>
            </w:pPr>
            <w:r>
              <w:rPr>
                <w:rFonts w:ascii="Times New Roman" w:hAnsi="Times New Roman"/>
                <w:sz w:val="17"/>
              </w:rPr>
              <w:t>Next.js 14 monorepo, Prisma ORM, bcryptjs/jose auth, 4-tier RBAC.</w:t>
            </w:r>
          </w:p>
        </w:tc>
        <w:tc>
          <w:tcPr>
            <w:tcW w:type="dxa" w:w="1152"/>
            <w:shd w:fill="f8fafc"/>
            <w:tcMar>
              <w:top w:w="50" w:type="dxa"/>
              <w:bottom w:w="50" w:type="dxa"/>
              <w:left w:w="50" w:type="dxa"/>
              <w:right w:w="50" w:type="dxa"/>
            </w:tcMar>
          </w:tcPr>
          <w:p>
            <w:pPr>
              <w:spacing w:line="276" w:lineRule="auto" w:after="0"/>
            </w:pPr>
            <w:r>
              <w:rPr>
                <w:rFonts w:ascii="Times New Roman" w:hAnsi="Times New Roman"/>
                <w:b/>
                <w:color w:val="059669"/>
                <w:sz w:val="17"/>
              </w:rPr>
              <w:t>Completed</w:t>
            </w:r>
          </w:p>
        </w:tc>
        <w:tc>
          <w:tcPr>
            <w:tcW w:type="dxa" w:w="821"/>
            <w:shd w:fill="f8fafc"/>
            <w:tcMar>
              <w:top w:w="50" w:type="dxa"/>
              <w:bottom w:w="50" w:type="dxa"/>
              <w:left w:w="50" w:type="dxa"/>
              <w:right w:w="50" w:type="dxa"/>
            </w:tcMar>
          </w:tcPr>
          <w:p>
            <w:pPr>
              <w:spacing w:line="276" w:lineRule="auto" w:after="0"/>
            </w:pPr>
            <w:r>
              <w:rPr>
                <w:rFonts w:ascii="Times New Roman" w:hAnsi="Times New Roman"/>
                <w:sz w:val="17"/>
              </w:rPr>
              <w:t>Stage-I</w:t>
            </w:r>
          </w:p>
        </w:tc>
      </w:tr>
      <w:tr>
        <w:tc>
          <w:tcPr>
            <w:tcW w:type="dxa" w:w="1296"/>
            <w:shd w:fill="ffffff"/>
            <w:tcMar>
              <w:top w:w="50" w:type="dxa"/>
              <w:bottom w:w="50" w:type="dxa"/>
              <w:left w:w="50" w:type="dxa"/>
              <w:right w:w="50" w:type="dxa"/>
            </w:tcMar>
          </w:tcPr>
          <w:p>
            <w:pPr>
              <w:spacing w:line="276" w:lineRule="auto" w:after="0"/>
            </w:pPr>
            <w:r>
              <w:rPr>
                <w:rFonts w:ascii="Times New Roman" w:hAnsi="Times New Roman"/>
                <w:b/>
                <w:color w:val="1E3A8A"/>
                <w:sz w:val="17"/>
              </w:rPr>
              <w:t>Phase 2</w:t>
            </w:r>
          </w:p>
        </w:tc>
        <w:tc>
          <w:tcPr>
            <w:tcW w:type="dxa" w:w="2592"/>
            <w:shd w:fill="ffffff"/>
            <w:tcMar>
              <w:top w:w="50" w:type="dxa"/>
              <w:bottom w:w="50" w:type="dxa"/>
              <w:left w:w="50" w:type="dxa"/>
              <w:right w:w="50" w:type="dxa"/>
            </w:tcMar>
          </w:tcPr>
          <w:p>
            <w:pPr>
              <w:spacing w:line="276" w:lineRule="auto" w:after="0"/>
            </w:pPr>
            <w:r>
              <w:rPr>
                <w:rFonts w:ascii="Times New Roman" w:hAnsi="Times New Roman"/>
                <w:b/>
                <w:color w:val="0F172A"/>
                <w:sz w:val="17"/>
              </w:rPr>
              <w:t>Content Engine &amp; DAG Engine</w:t>
            </w:r>
          </w:p>
        </w:tc>
        <w:tc>
          <w:tcPr>
            <w:tcW w:type="dxa" w:w="3168"/>
            <w:shd w:fill="ffffff"/>
            <w:tcMar>
              <w:top w:w="50" w:type="dxa"/>
              <w:bottom w:w="50" w:type="dxa"/>
              <w:left w:w="50" w:type="dxa"/>
              <w:right w:w="50" w:type="dxa"/>
            </w:tcMar>
          </w:tcPr>
          <w:p>
            <w:pPr>
              <w:spacing w:line="276" w:lineRule="auto" w:after="0"/>
            </w:pPr>
            <w:r>
              <w:rPr>
                <w:rFonts w:ascii="Times New Roman" w:hAnsi="Times New Roman"/>
                <w:sz w:val="17"/>
              </w:rPr>
              <w:t>21 domain models, task dependency DAG, dynamic admin authoring.</w:t>
            </w:r>
          </w:p>
        </w:tc>
        <w:tc>
          <w:tcPr>
            <w:tcW w:type="dxa" w:w="1152"/>
            <w:shd w:fill="ffffff"/>
            <w:tcMar>
              <w:top w:w="50" w:type="dxa"/>
              <w:bottom w:w="50" w:type="dxa"/>
              <w:left w:w="50" w:type="dxa"/>
              <w:right w:w="50" w:type="dxa"/>
            </w:tcMar>
          </w:tcPr>
          <w:p>
            <w:pPr>
              <w:spacing w:line="276" w:lineRule="auto" w:after="0"/>
            </w:pPr>
            <w:r>
              <w:rPr>
                <w:rFonts w:ascii="Times New Roman" w:hAnsi="Times New Roman"/>
                <w:b/>
                <w:color w:val="059669"/>
                <w:sz w:val="17"/>
              </w:rPr>
              <w:t>Completed</w:t>
            </w:r>
          </w:p>
        </w:tc>
        <w:tc>
          <w:tcPr>
            <w:tcW w:type="dxa" w:w="821"/>
            <w:shd w:fill="ffffff"/>
            <w:tcMar>
              <w:top w:w="50" w:type="dxa"/>
              <w:bottom w:w="50" w:type="dxa"/>
              <w:left w:w="50" w:type="dxa"/>
              <w:right w:w="50" w:type="dxa"/>
            </w:tcMar>
          </w:tcPr>
          <w:p>
            <w:pPr>
              <w:spacing w:line="276" w:lineRule="auto" w:after="0"/>
            </w:pPr>
            <w:r>
              <w:rPr>
                <w:rFonts w:ascii="Times New Roman" w:hAnsi="Times New Roman"/>
                <w:sz w:val="17"/>
              </w:rPr>
              <w:t>Stage-I</w:t>
            </w:r>
          </w:p>
        </w:tc>
      </w:tr>
      <w:tr>
        <w:tc>
          <w:tcPr>
            <w:tcW w:type="dxa" w:w="1296"/>
            <w:shd w:fill="f8fafc"/>
            <w:tcMar>
              <w:top w:w="50" w:type="dxa"/>
              <w:bottom w:w="50" w:type="dxa"/>
              <w:left w:w="50" w:type="dxa"/>
              <w:right w:w="50" w:type="dxa"/>
            </w:tcMar>
          </w:tcPr>
          <w:p>
            <w:pPr>
              <w:spacing w:line="276" w:lineRule="auto" w:after="0"/>
            </w:pPr>
            <w:r>
              <w:rPr>
                <w:rFonts w:ascii="Times New Roman" w:hAnsi="Times New Roman"/>
                <w:b/>
                <w:color w:val="1E3A8A"/>
                <w:sz w:val="17"/>
              </w:rPr>
              <w:t>Phase 3</w:t>
            </w:r>
          </w:p>
        </w:tc>
        <w:tc>
          <w:tcPr>
            <w:tcW w:type="dxa" w:w="2592"/>
            <w:shd w:fill="f8fafc"/>
            <w:tcMar>
              <w:top w:w="50" w:type="dxa"/>
              <w:bottom w:w="50" w:type="dxa"/>
              <w:left w:w="50" w:type="dxa"/>
              <w:right w:w="50" w:type="dxa"/>
            </w:tcMar>
          </w:tcPr>
          <w:p>
            <w:pPr>
              <w:spacing w:line="276" w:lineRule="auto" w:after="0"/>
            </w:pPr>
            <w:r>
              <w:rPr>
                <w:rFonts w:ascii="Times New Roman" w:hAnsi="Times New Roman"/>
                <w:b/>
                <w:color w:val="0F172A"/>
                <w:sz w:val="17"/>
              </w:rPr>
              <w:t>Workspace Orchestration</w:t>
            </w:r>
          </w:p>
        </w:tc>
        <w:tc>
          <w:tcPr>
            <w:tcW w:type="dxa" w:w="3168"/>
            <w:shd w:fill="f8fafc"/>
            <w:tcMar>
              <w:top w:w="50" w:type="dxa"/>
              <w:bottom w:w="50" w:type="dxa"/>
              <w:left w:w="50" w:type="dxa"/>
              <w:right w:w="50" w:type="dxa"/>
            </w:tcMar>
          </w:tcPr>
          <w:p>
            <w:pPr>
              <w:spacing w:line="276" w:lineRule="auto" w:after="0"/>
            </w:pPr>
            <w:r>
              <w:rPr>
                <w:rFonts w:ascii="Times New Roman" w:hAnsi="Times New Roman"/>
                <w:sz w:val="17"/>
              </w:rPr>
              <w:t>IsolatedSandboxProvider, directory jailing, concurrency &amp; timeout caps.</w:t>
            </w:r>
          </w:p>
        </w:tc>
        <w:tc>
          <w:tcPr>
            <w:tcW w:type="dxa" w:w="1152"/>
            <w:shd w:fill="f8fafc"/>
            <w:tcMar>
              <w:top w:w="50" w:type="dxa"/>
              <w:bottom w:w="50" w:type="dxa"/>
              <w:left w:w="50" w:type="dxa"/>
              <w:right w:w="50" w:type="dxa"/>
            </w:tcMar>
          </w:tcPr>
          <w:p>
            <w:pPr>
              <w:spacing w:line="276" w:lineRule="auto" w:after="0"/>
            </w:pPr>
            <w:r>
              <w:rPr>
                <w:rFonts w:ascii="Times New Roman" w:hAnsi="Times New Roman"/>
                <w:b/>
                <w:color w:val="059669"/>
                <w:sz w:val="17"/>
              </w:rPr>
              <w:t>Completed</w:t>
            </w:r>
          </w:p>
        </w:tc>
        <w:tc>
          <w:tcPr>
            <w:tcW w:type="dxa" w:w="821"/>
            <w:shd w:fill="f8fafc"/>
            <w:tcMar>
              <w:top w:w="50" w:type="dxa"/>
              <w:bottom w:w="50" w:type="dxa"/>
              <w:left w:w="50" w:type="dxa"/>
              <w:right w:w="50" w:type="dxa"/>
            </w:tcMar>
          </w:tcPr>
          <w:p>
            <w:pPr>
              <w:spacing w:line="276" w:lineRule="auto" w:after="0"/>
            </w:pPr>
            <w:r>
              <w:rPr>
                <w:rFonts w:ascii="Times New Roman" w:hAnsi="Times New Roman"/>
                <w:sz w:val="17"/>
              </w:rPr>
              <w:t>Stage-I</w:t>
            </w:r>
          </w:p>
        </w:tc>
      </w:tr>
      <w:tr>
        <w:tc>
          <w:tcPr>
            <w:tcW w:type="dxa" w:w="1296"/>
            <w:shd w:fill="ffffff"/>
            <w:tcMar>
              <w:top w:w="50" w:type="dxa"/>
              <w:bottom w:w="50" w:type="dxa"/>
              <w:left w:w="50" w:type="dxa"/>
              <w:right w:w="50" w:type="dxa"/>
            </w:tcMar>
          </w:tcPr>
          <w:p>
            <w:pPr>
              <w:spacing w:line="276" w:lineRule="auto" w:after="0"/>
            </w:pPr>
            <w:r>
              <w:rPr>
                <w:rFonts w:ascii="Times New Roman" w:hAnsi="Times New Roman"/>
                <w:b/>
                <w:color w:val="1E3A8A"/>
                <w:sz w:val="17"/>
              </w:rPr>
              <w:t>Phase 4</w:t>
            </w:r>
          </w:p>
        </w:tc>
        <w:tc>
          <w:tcPr>
            <w:tcW w:type="dxa" w:w="2592"/>
            <w:shd w:fill="ffffff"/>
            <w:tcMar>
              <w:top w:w="50" w:type="dxa"/>
              <w:bottom w:w="50" w:type="dxa"/>
              <w:left w:w="50" w:type="dxa"/>
              <w:right w:w="50" w:type="dxa"/>
            </w:tcMar>
          </w:tcPr>
          <w:p>
            <w:pPr>
              <w:spacing w:line="276" w:lineRule="auto" w:after="0"/>
            </w:pPr>
            <w:r>
              <w:rPr>
                <w:rFonts w:ascii="Times New Roman" w:hAnsi="Times New Roman"/>
                <w:b/>
                <w:color w:val="0F172A"/>
                <w:sz w:val="17"/>
              </w:rPr>
              <w:t>Professional Toolchain</w:t>
            </w:r>
          </w:p>
        </w:tc>
        <w:tc>
          <w:tcPr>
            <w:tcW w:type="dxa" w:w="3168"/>
            <w:shd w:fill="ffffff"/>
            <w:tcMar>
              <w:top w:w="50" w:type="dxa"/>
              <w:bottom w:w="50" w:type="dxa"/>
              <w:left w:w="50" w:type="dxa"/>
              <w:right w:w="50" w:type="dxa"/>
            </w:tcMar>
          </w:tcPr>
          <w:p>
            <w:pPr>
              <w:spacing w:line="276" w:lineRule="auto" w:after="0"/>
            </w:pPr>
            <w:r>
              <w:rPr>
                <w:rFonts w:ascii="Times New Roman" w:hAnsi="Times New Roman"/>
                <w:sz w:val="17"/>
              </w:rPr>
              <w:t>In-browser code editor, file tree navigation, terminal log streaming.</w:t>
            </w:r>
          </w:p>
        </w:tc>
        <w:tc>
          <w:tcPr>
            <w:tcW w:type="dxa" w:w="1152"/>
            <w:shd w:fill="ffffff"/>
            <w:tcMar>
              <w:top w:w="50" w:type="dxa"/>
              <w:bottom w:w="50" w:type="dxa"/>
              <w:left w:w="50" w:type="dxa"/>
              <w:right w:w="50" w:type="dxa"/>
            </w:tcMar>
          </w:tcPr>
          <w:p>
            <w:pPr>
              <w:spacing w:line="276" w:lineRule="auto" w:after="0"/>
            </w:pPr>
            <w:r>
              <w:rPr>
                <w:rFonts w:ascii="Times New Roman" w:hAnsi="Times New Roman"/>
                <w:b/>
                <w:color w:val="D97706"/>
                <w:sz w:val="17"/>
              </w:rPr>
              <w:t>In Progress</w:t>
            </w:r>
          </w:p>
        </w:tc>
        <w:tc>
          <w:tcPr>
            <w:tcW w:type="dxa" w:w="821"/>
            <w:shd w:fill="ffffff"/>
            <w:tcMar>
              <w:top w:w="50" w:type="dxa"/>
              <w:bottom w:w="50" w:type="dxa"/>
              <w:left w:w="50" w:type="dxa"/>
              <w:right w:w="50" w:type="dxa"/>
            </w:tcMar>
          </w:tcPr>
          <w:p>
            <w:pPr>
              <w:spacing w:line="276" w:lineRule="auto" w:after="0"/>
            </w:pPr>
            <w:r>
              <w:rPr>
                <w:rFonts w:ascii="Times New Roman" w:hAnsi="Times New Roman"/>
                <w:sz w:val="17"/>
              </w:rPr>
              <w:t>Stage-I Scope</w:t>
            </w:r>
          </w:p>
        </w:tc>
      </w:tr>
      <w:tr>
        <w:tc>
          <w:tcPr>
            <w:tcW w:type="dxa" w:w="1296"/>
            <w:shd w:fill="f8fafc"/>
            <w:tcMar>
              <w:top w:w="50" w:type="dxa"/>
              <w:bottom w:w="50" w:type="dxa"/>
              <w:left w:w="50" w:type="dxa"/>
              <w:right w:w="50" w:type="dxa"/>
            </w:tcMar>
          </w:tcPr>
          <w:p>
            <w:pPr>
              <w:spacing w:line="276" w:lineRule="auto" w:after="0"/>
            </w:pPr>
            <w:r>
              <w:rPr>
                <w:rFonts w:ascii="Times New Roman" w:hAnsi="Times New Roman"/>
                <w:b/>
                <w:color w:val="1E3A8A"/>
                <w:sz w:val="17"/>
              </w:rPr>
              <w:t>Phase 5</w:t>
            </w:r>
          </w:p>
        </w:tc>
        <w:tc>
          <w:tcPr>
            <w:tcW w:type="dxa" w:w="2592"/>
            <w:shd w:fill="f8fafc"/>
            <w:tcMar>
              <w:top w:w="50" w:type="dxa"/>
              <w:bottom w:w="50" w:type="dxa"/>
              <w:left w:w="50" w:type="dxa"/>
              <w:right w:w="50" w:type="dxa"/>
            </w:tcMar>
          </w:tcPr>
          <w:p>
            <w:pPr>
              <w:spacing w:line="276" w:lineRule="auto" w:after="0"/>
            </w:pPr>
            <w:r>
              <w:rPr>
                <w:rFonts w:ascii="Times New Roman" w:hAnsi="Times New Roman"/>
                <w:b/>
                <w:color w:val="0F172A"/>
                <w:sz w:val="17"/>
              </w:rPr>
              <w:t>Evaluation &amp; Assessment Engine</w:t>
            </w:r>
          </w:p>
        </w:tc>
        <w:tc>
          <w:tcPr>
            <w:tcW w:type="dxa" w:w="3168"/>
            <w:shd w:fill="f8fafc"/>
            <w:tcMar>
              <w:top w:w="50" w:type="dxa"/>
              <w:bottom w:w="50" w:type="dxa"/>
              <w:left w:w="50" w:type="dxa"/>
              <w:right w:w="50" w:type="dxa"/>
            </w:tcMar>
          </w:tcPr>
          <w:p>
            <w:pPr>
              <w:spacing w:line="276" w:lineRule="auto" w:after="0"/>
            </w:pPr>
            <w:r>
              <w:rPr>
                <w:rFonts w:ascii="Times New Roman" w:hAnsi="Times New Roman"/>
                <w:sz w:val="17"/>
              </w:rPr>
              <w:t>Multi-tier test suites (unit, integration, hidden benchmark suites).</w:t>
            </w:r>
          </w:p>
        </w:tc>
        <w:tc>
          <w:tcPr>
            <w:tcW w:type="dxa" w:w="1152"/>
            <w:shd w:fill="f8fafc"/>
            <w:tcMar>
              <w:top w:w="50" w:type="dxa"/>
              <w:bottom w:w="50" w:type="dxa"/>
              <w:left w:w="50" w:type="dxa"/>
              <w:right w:w="50" w:type="dxa"/>
            </w:tcMar>
          </w:tcPr>
          <w:p>
            <w:pPr>
              <w:spacing w:line="276" w:lineRule="auto" w:after="0"/>
            </w:pPr>
            <w:r>
              <w:rPr>
                <w:rFonts w:ascii="Times New Roman" w:hAnsi="Times New Roman"/>
                <w:b/>
                <w:color w:val="475569"/>
                <w:sz w:val="17"/>
              </w:rPr>
              <w:t>Planned</w:t>
            </w:r>
          </w:p>
        </w:tc>
        <w:tc>
          <w:tcPr>
            <w:tcW w:type="dxa" w:w="821"/>
            <w:shd w:fill="f8fafc"/>
            <w:tcMar>
              <w:top w:w="50" w:type="dxa"/>
              <w:bottom w:w="50" w:type="dxa"/>
              <w:left w:w="50" w:type="dxa"/>
              <w:right w:w="50" w:type="dxa"/>
            </w:tcMar>
          </w:tcPr>
          <w:p>
            <w:pPr>
              <w:spacing w:line="276" w:lineRule="auto" w:after="0"/>
            </w:pPr>
            <w:r>
              <w:rPr>
                <w:rFonts w:ascii="Times New Roman" w:hAnsi="Times New Roman"/>
                <w:sz w:val="17"/>
              </w:rPr>
              <w:t>Stage-II</w:t>
            </w:r>
          </w:p>
        </w:tc>
      </w:tr>
      <w:tr>
        <w:tc>
          <w:tcPr>
            <w:tcW w:type="dxa" w:w="1296"/>
            <w:shd w:fill="ffffff"/>
            <w:tcMar>
              <w:top w:w="50" w:type="dxa"/>
              <w:bottom w:w="50" w:type="dxa"/>
              <w:left w:w="50" w:type="dxa"/>
              <w:right w:w="50" w:type="dxa"/>
            </w:tcMar>
          </w:tcPr>
          <w:p>
            <w:pPr>
              <w:spacing w:line="276" w:lineRule="auto" w:after="0"/>
            </w:pPr>
            <w:r>
              <w:rPr>
                <w:rFonts w:ascii="Times New Roman" w:hAnsi="Times New Roman"/>
                <w:b/>
                <w:color w:val="1E3A8A"/>
                <w:sz w:val="17"/>
              </w:rPr>
              <w:t>Phase 6</w:t>
            </w:r>
          </w:p>
        </w:tc>
        <w:tc>
          <w:tcPr>
            <w:tcW w:type="dxa" w:w="2592"/>
            <w:shd w:fill="ffffff"/>
            <w:tcMar>
              <w:top w:w="50" w:type="dxa"/>
              <w:bottom w:w="50" w:type="dxa"/>
              <w:left w:w="50" w:type="dxa"/>
              <w:right w:w="50" w:type="dxa"/>
            </w:tcMar>
          </w:tcPr>
          <w:p>
            <w:pPr>
              <w:spacing w:line="276" w:lineRule="auto" w:after="0"/>
            </w:pPr>
            <w:r>
              <w:rPr>
                <w:rFonts w:ascii="Times New Roman" w:hAnsi="Times New Roman"/>
                <w:b/>
                <w:color w:val="0F172A"/>
                <w:sz w:val="17"/>
              </w:rPr>
              <w:t>AI Mentor &amp; Tech Lead Reviewer</w:t>
            </w:r>
          </w:p>
        </w:tc>
        <w:tc>
          <w:tcPr>
            <w:tcW w:type="dxa" w:w="3168"/>
            <w:shd w:fill="ffffff"/>
            <w:tcMar>
              <w:top w:w="50" w:type="dxa"/>
              <w:bottom w:w="50" w:type="dxa"/>
              <w:left w:w="50" w:type="dxa"/>
              <w:right w:w="50" w:type="dxa"/>
            </w:tcMar>
          </w:tcPr>
          <w:p>
            <w:pPr>
              <w:spacing w:line="276" w:lineRule="auto" w:after="0"/>
            </w:pPr>
            <w:r>
              <w:rPr>
                <w:rFonts w:ascii="Times New Roman" w:hAnsi="Times New Roman"/>
                <w:sz w:val="17"/>
              </w:rPr>
              <w:t>Multi-turn LLM reviewer agent generating line-by-line PR critiques.</w:t>
            </w:r>
          </w:p>
        </w:tc>
        <w:tc>
          <w:tcPr>
            <w:tcW w:type="dxa" w:w="1152"/>
            <w:shd w:fill="ffffff"/>
            <w:tcMar>
              <w:top w:w="50" w:type="dxa"/>
              <w:bottom w:w="50" w:type="dxa"/>
              <w:left w:w="50" w:type="dxa"/>
              <w:right w:w="50" w:type="dxa"/>
            </w:tcMar>
          </w:tcPr>
          <w:p>
            <w:pPr>
              <w:spacing w:line="276" w:lineRule="auto" w:after="0"/>
            </w:pPr>
            <w:r>
              <w:rPr>
                <w:rFonts w:ascii="Times New Roman" w:hAnsi="Times New Roman"/>
                <w:b/>
                <w:color w:val="475569"/>
                <w:sz w:val="17"/>
              </w:rPr>
              <w:t>Planned</w:t>
            </w:r>
          </w:p>
        </w:tc>
        <w:tc>
          <w:tcPr>
            <w:tcW w:type="dxa" w:w="821"/>
            <w:shd w:fill="ffffff"/>
            <w:tcMar>
              <w:top w:w="50" w:type="dxa"/>
              <w:bottom w:w="50" w:type="dxa"/>
              <w:left w:w="50" w:type="dxa"/>
              <w:right w:w="50" w:type="dxa"/>
            </w:tcMar>
          </w:tcPr>
          <w:p>
            <w:pPr>
              <w:spacing w:line="276" w:lineRule="auto" w:after="0"/>
            </w:pPr>
            <w:r>
              <w:rPr>
                <w:rFonts w:ascii="Times New Roman" w:hAnsi="Times New Roman"/>
                <w:sz w:val="17"/>
              </w:rPr>
              <w:t>Stage-II</w:t>
            </w:r>
          </w:p>
        </w:tc>
      </w:tr>
      <w:tr>
        <w:tc>
          <w:tcPr>
            <w:tcW w:type="dxa" w:w="1296"/>
            <w:shd w:fill="f8fafc"/>
            <w:tcMar>
              <w:top w:w="50" w:type="dxa"/>
              <w:bottom w:w="50" w:type="dxa"/>
              <w:left w:w="50" w:type="dxa"/>
              <w:right w:w="50" w:type="dxa"/>
            </w:tcMar>
          </w:tcPr>
          <w:p>
            <w:pPr>
              <w:spacing w:line="276" w:lineRule="auto" w:after="0"/>
            </w:pPr>
            <w:r>
              <w:rPr>
                <w:rFonts w:ascii="Times New Roman" w:hAnsi="Times New Roman"/>
                <w:b/>
                <w:color w:val="1E3A8A"/>
                <w:sz w:val="17"/>
              </w:rPr>
              <w:t>Phase 7</w:t>
            </w:r>
          </w:p>
        </w:tc>
        <w:tc>
          <w:tcPr>
            <w:tcW w:type="dxa" w:w="2592"/>
            <w:shd w:fill="f8fafc"/>
            <w:tcMar>
              <w:top w:w="50" w:type="dxa"/>
              <w:bottom w:w="50" w:type="dxa"/>
              <w:left w:w="50" w:type="dxa"/>
              <w:right w:w="50" w:type="dxa"/>
            </w:tcMar>
          </w:tcPr>
          <w:p>
            <w:pPr>
              <w:spacing w:line="276" w:lineRule="auto" w:after="0"/>
            </w:pPr>
            <w:r>
              <w:rPr>
                <w:rFonts w:ascii="Times New Roman" w:hAnsi="Times New Roman"/>
                <w:b/>
                <w:color w:val="0F172A"/>
                <w:sz w:val="17"/>
              </w:rPr>
              <w:t>Flagship ML &amp; DevOps Tracks</w:t>
            </w:r>
          </w:p>
        </w:tc>
        <w:tc>
          <w:tcPr>
            <w:tcW w:type="dxa" w:w="3168"/>
            <w:shd w:fill="f8fafc"/>
            <w:tcMar>
              <w:top w:w="50" w:type="dxa"/>
              <w:bottom w:w="50" w:type="dxa"/>
              <w:left w:w="50" w:type="dxa"/>
              <w:right w:w="50" w:type="dxa"/>
            </w:tcMar>
          </w:tcPr>
          <w:p>
            <w:pPr>
              <w:spacing w:line="276" w:lineRule="auto" w:after="0"/>
            </w:pPr>
            <w:r>
              <w:rPr>
                <w:rFonts w:ascii="Times New Roman" w:hAnsi="Times New Roman"/>
                <w:sz w:val="17"/>
              </w:rPr>
              <w:t>ShopSphere MLOps churn prediction (15 tasks) &amp; CI/CD deployment track.</w:t>
            </w:r>
          </w:p>
        </w:tc>
        <w:tc>
          <w:tcPr>
            <w:tcW w:type="dxa" w:w="1152"/>
            <w:shd w:fill="f8fafc"/>
            <w:tcMar>
              <w:top w:w="50" w:type="dxa"/>
              <w:bottom w:w="50" w:type="dxa"/>
              <w:left w:w="50" w:type="dxa"/>
              <w:right w:w="50" w:type="dxa"/>
            </w:tcMar>
          </w:tcPr>
          <w:p>
            <w:pPr>
              <w:spacing w:line="276" w:lineRule="auto" w:after="0"/>
            </w:pPr>
            <w:r>
              <w:rPr>
                <w:rFonts w:ascii="Times New Roman" w:hAnsi="Times New Roman"/>
                <w:b/>
                <w:color w:val="475569"/>
                <w:sz w:val="17"/>
              </w:rPr>
              <w:t>Planned</w:t>
            </w:r>
          </w:p>
        </w:tc>
        <w:tc>
          <w:tcPr>
            <w:tcW w:type="dxa" w:w="821"/>
            <w:shd w:fill="f8fafc"/>
            <w:tcMar>
              <w:top w:w="50" w:type="dxa"/>
              <w:bottom w:w="50" w:type="dxa"/>
              <w:left w:w="50" w:type="dxa"/>
              <w:right w:w="50" w:type="dxa"/>
            </w:tcMar>
          </w:tcPr>
          <w:p>
            <w:pPr>
              <w:spacing w:line="276" w:lineRule="auto" w:after="0"/>
            </w:pPr>
            <w:r>
              <w:rPr>
                <w:rFonts w:ascii="Times New Roman" w:hAnsi="Times New Roman"/>
                <w:sz w:val="17"/>
              </w:rPr>
              <w:t>Stage-II</w:t>
            </w:r>
          </w:p>
        </w:tc>
      </w:tr>
      <w:tr>
        <w:tc>
          <w:tcPr>
            <w:tcW w:type="dxa" w:w="1296"/>
            <w:shd w:fill="ffffff"/>
            <w:tcMar>
              <w:top w:w="50" w:type="dxa"/>
              <w:bottom w:w="50" w:type="dxa"/>
              <w:left w:w="50" w:type="dxa"/>
              <w:right w:w="50" w:type="dxa"/>
            </w:tcMar>
          </w:tcPr>
          <w:p>
            <w:pPr>
              <w:spacing w:line="276" w:lineRule="auto" w:after="0"/>
            </w:pPr>
            <w:r>
              <w:rPr>
                <w:rFonts w:ascii="Times New Roman" w:hAnsi="Times New Roman"/>
                <w:b/>
                <w:color w:val="1E3A8A"/>
                <w:sz w:val="17"/>
              </w:rPr>
              <w:t>Phase 8</w:t>
            </w:r>
          </w:p>
        </w:tc>
        <w:tc>
          <w:tcPr>
            <w:tcW w:type="dxa" w:w="2592"/>
            <w:shd w:fill="ffffff"/>
            <w:tcMar>
              <w:top w:w="50" w:type="dxa"/>
              <w:bottom w:w="50" w:type="dxa"/>
              <w:left w:w="50" w:type="dxa"/>
              <w:right w:w="50" w:type="dxa"/>
            </w:tcMar>
          </w:tcPr>
          <w:p>
            <w:pPr>
              <w:spacing w:line="276" w:lineRule="auto" w:after="0"/>
            </w:pPr>
            <w:r>
              <w:rPr>
                <w:rFonts w:ascii="Times New Roman" w:hAnsi="Times New Roman"/>
                <w:b/>
                <w:color w:val="0F172A"/>
                <w:sz w:val="17"/>
              </w:rPr>
              <w:t>Evidence-of-Skill Portfolio</w:t>
            </w:r>
          </w:p>
        </w:tc>
        <w:tc>
          <w:tcPr>
            <w:tcW w:type="dxa" w:w="3168"/>
            <w:shd w:fill="ffffff"/>
            <w:tcMar>
              <w:top w:w="50" w:type="dxa"/>
              <w:bottom w:w="50" w:type="dxa"/>
              <w:left w:w="50" w:type="dxa"/>
              <w:right w:w="50" w:type="dxa"/>
            </w:tcMar>
          </w:tcPr>
          <w:p>
            <w:pPr>
              <w:spacing w:line="276" w:lineRule="auto" w:after="0"/>
            </w:pPr>
            <w:r>
              <w:rPr>
                <w:rFonts w:ascii="Times New Roman" w:hAnsi="Times New Roman"/>
                <w:sz w:val="17"/>
              </w:rPr>
              <w:t>Cryptographically verifiable dossier generator, Git SHA verification.</w:t>
            </w:r>
          </w:p>
        </w:tc>
        <w:tc>
          <w:tcPr>
            <w:tcW w:type="dxa" w:w="1152"/>
            <w:shd w:fill="ffffff"/>
            <w:tcMar>
              <w:top w:w="50" w:type="dxa"/>
              <w:bottom w:w="50" w:type="dxa"/>
              <w:left w:w="50" w:type="dxa"/>
              <w:right w:w="50" w:type="dxa"/>
            </w:tcMar>
          </w:tcPr>
          <w:p>
            <w:pPr>
              <w:spacing w:line="276" w:lineRule="auto" w:after="0"/>
            </w:pPr>
            <w:r>
              <w:rPr>
                <w:rFonts w:ascii="Times New Roman" w:hAnsi="Times New Roman"/>
                <w:b/>
                <w:color w:val="475569"/>
                <w:sz w:val="17"/>
              </w:rPr>
              <w:t>Planned</w:t>
            </w:r>
          </w:p>
        </w:tc>
        <w:tc>
          <w:tcPr>
            <w:tcW w:type="dxa" w:w="821"/>
            <w:shd w:fill="ffffff"/>
            <w:tcMar>
              <w:top w:w="50" w:type="dxa"/>
              <w:bottom w:w="50" w:type="dxa"/>
              <w:left w:w="50" w:type="dxa"/>
              <w:right w:w="50" w:type="dxa"/>
            </w:tcMar>
          </w:tcPr>
          <w:p>
            <w:pPr>
              <w:spacing w:line="276" w:lineRule="auto" w:after="0"/>
            </w:pPr>
            <w:r>
              <w:rPr>
                <w:rFonts w:ascii="Times New Roman" w:hAnsi="Times New Roman"/>
                <w:sz w:val="17"/>
              </w:rPr>
              <w:t>Stage-II</w:t>
            </w:r>
          </w:p>
        </w:tc>
      </w:tr>
      <w:tr>
        <w:tc>
          <w:tcPr>
            <w:tcW w:type="dxa" w:w="1296"/>
            <w:shd w:fill="f8fafc"/>
            <w:tcMar>
              <w:top w:w="50" w:type="dxa"/>
              <w:bottom w:w="50" w:type="dxa"/>
              <w:left w:w="50" w:type="dxa"/>
              <w:right w:w="50" w:type="dxa"/>
            </w:tcMar>
          </w:tcPr>
          <w:p>
            <w:pPr>
              <w:spacing w:line="276" w:lineRule="auto" w:after="0"/>
            </w:pPr>
            <w:r>
              <w:rPr>
                <w:rFonts w:ascii="Times New Roman" w:hAnsi="Times New Roman"/>
                <w:b/>
                <w:color w:val="1E3A8A"/>
                <w:sz w:val="17"/>
              </w:rPr>
              <w:t>Phase 9</w:t>
            </w:r>
          </w:p>
        </w:tc>
        <w:tc>
          <w:tcPr>
            <w:tcW w:type="dxa" w:w="2592"/>
            <w:shd w:fill="f8fafc"/>
            <w:tcMar>
              <w:top w:w="50" w:type="dxa"/>
              <w:bottom w:w="50" w:type="dxa"/>
              <w:left w:w="50" w:type="dxa"/>
              <w:right w:w="50" w:type="dxa"/>
            </w:tcMar>
          </w:tcPr>
          <w:p>
            <w:pPr>
              <w:spacing w:line="276" w:lineRule="auto" w:after="0"/>
            </w:pPr>
            <w:r>
              <w:rPr>
                <w:rFonts w:ascii="Times New Roman" w:hAnsi="Times New Roman"/>
                <w:b/>
                <w:color w:val="0F172A"/>
                <w:sz w:val="17"/>
              </w:rPr>
              <w:t>Security &amp; Abuse Hardening</w:t>
            </w:r>
          </w:p>
        </w:tc>
        <w:tc>
          <w:tcPr>
            <w:tcW w:type="dxa" w:w="3168"/>
            <w:shd w:fill="f8fafc"/>
            <w:tcMar>
              <w:top w:w="50" w:type="dxa"/>
              <w:bottom w:w="50" w:type="dxa"/>
              <w:left w:w="50" w:type="dxa"/>
              <w:right w:w="50" w:type="dxa"/>
            </w:tcMar>
          </w:tcPr>
          <w:p>
            <w:pPr>
              <w:spacing w:line="276" w:lineRule="auto" w:after="0"/>
            </w:pPr>
            <w:r>
              <w:rPr>
                <w:rFonts w:ascii="Times New Roman" w:hAnsi="Times New Roman"/>
                <w:sz w:val="17"/>
              </w:rPr>
              <w:t>Container egress firewalling, network isolation, anti-cheating heuristics.</w:t>
            </w:r>
          </w:p>
        </w:tc>
        <w:tc>
          <w:tcPr>
            <w:tcW w:type="dxa" w:w="1152"/>
            <w:shd w:fill="f8fafc"/>
            <w:tcMar>
              <w:top w:w="50" w:type="dxa"/>
              <w:bottom w:w="50" w:type="dxa"/>
              <w:left w:w="50" w:type="dxa"/>
              <w:right w:w="50" w:type="dxa"/>
            </w:tcMar>
          </w:tcPr>
          <w:p>
            <w:pPr>
              <w:spacing w:line="276" w:lineRule="auto" w:after="0"/>
            </w:pPr>
            <w:r>
              <w:rPr>
                <w:rFonts w:ascii="Times New Roman" w:hAnsi="Times New Roman"/>
                <w:b/>
                <w:color w:val="475569"/>
                <w:sz w:val="17"/>
              </w:rPr>
              <w:t>Planned</w:t>
            </w:r>
          </w:p>
        </w:tc>
        <w:tc>
          <w:tcPr>
            <w:tcW w:type="dxa" w:w="821"/>
            <w:shd w:fill="f8fafc"/>
            <w:tcMar>
              <w:top w:w="50" w:type="dxa"/>
              <w:bottom w:w="50" w:type="dxa"/>
              <w:left w:w="50" w:type="dxa"/>
              <w:right w:w="50" w:type="dxa"/>
            </w:tcMar>
          </w:tcPr>
          <w:p>
            <w:pPr>
              <w:spacing w:line="276" w:lineRule="auto" w:after="0"/>
            </w:pPr>
            <w:r>
              <w:rPr>
                <w:rFonts w:ascii="Times New Roman" w:hAnsi="Times New Roman"/>
                <w:sz w:val="17"/>
              </w:rPr>
              <w:t>Stage-II</w:t>
            </w:r>
          </w:p>
        </w:tc>
      </w:tr>
      <w:tr>
        <w:tc>
          <w:tcPr>
            <w:tcW w:type="dxa" w:w="1296"/>
            <w:shd w:fill="ffffff"/>
            <w:tcMar>
              <w:top w:w="50" w:type="dxa"/>
              <w:bottom w:w="50" w:type="dxa"/>
              <w:left w:w="50" w:type="dxa"/>
              <w:right w:w="50" w:type="dxa"/>
            </w:tcMar>
          </w:tcPr>
          <w:p>
            <w:pPr>
              <w:spacing w:line="276" w:lineRule="auto" w:after="0"/>
            </w:pPr>
            <w:r>
              <w:rPr>
                <w:rFonts w:ascii="Times New Roman" w:hAnsi="Times New Roman"/>
                <w:b/>
                <w:color w:val="1E3A8A"/>
                <w:sz w:val="17"/>
              </w:rPr>
              <w:t>Phase 10</w:t>
            </w:r>
          </w:p>
        </w:tc>
        <w:tc>
          <w:tcPr>
            <w:tcW w:type="dxa" w:w="2592"/>
            <w:shd w:fill="ffffff"/>
            <w:tcMar>
              <w:top w:w="50" w:type="dxa"/>
              <w:bottom w:w="50" w:type="dxa"/>
              <w:left w:w="50" w:type="dxa"/>
              <w:right w:w="50" w:type="dxa"/>
            </w:tcMar>
          </w:tcPr>
          <w:p>
            <w:pPr>
              <w:spacing w:line="276" w:lineRule="auto" w:after="0"/>
            </w:pPr>
            <w:r>
              <w:rPr>
                <w:rFonts w:ascii="Times New Roman" w:hAnsi="Times New Roman"/>
                <w:b/>
                <w:color w:val="0F172A"/>
                <w:sz w:val="17"/>
              </w:rPr>
              <w:t>Admin Studio &amp; Content Studio</w:t>
            </w:r>
          </w:p>
        </w:tc>
        <w:tc>
          <w:tcPr>
            <w:tcW w:type="dxa" w:w="3168"/>
            <w:shd w:fill="ffffff"/>
            <w:tcMar>
              <w:top w:w="50" w:type="dxa"/>
              <w:bottom w:w="50" w:type="dxa"/>
              <w:left w:w="50" w:type="dxa"/>
              <w:right w:w="50" w:type="dxa"/>
            </w:tcMar>
          </w:tcPr>
          <w:p>
            <w:pPr>
              <w:spacing w:line="276" w:lineRule="auto" w:after="0"/>
            </w:pPr>
            <w:r>
              <w:rPr>
                <w:rFonts w:ascii="Times New Roman" w:hAnsi="Times New Roman"/>
                <w:sz w:val="17"/>
              </w:rPr>
              <w:t>Visual simulation authoring UI, team topology editor, audit dashboard.</w:t>
            </w:r>
          </w:p>
        </w:tc>
        <w:tc>
          <w:tcPr>
            <w:tcW w:type="dxa" w:w="1152"/>
            <w:shd w:fill="ffffff"/>
            <w:tcMar>
              <w:top w:w="50" w:type="dxa"/>
              <w:bottom w:w="50" w:type="dxa"/>
              <w:left w:w="50" w:type="dxa"/>
              <w:right w:w="50" w:type="dxa"/>
            </w:tcMar>
          </w:tcPr>
          <w:p>
            <w:pPr>
              <w:spacing w:line="276" w:lineRule="auto" w:after="0"/>
            </w:pPr>
            <w:r>
              <w:rPr>
                <w:rFonts w:ascii="Times New Roman" w:hAnsi="Times New Roman"/>
                <w:b/>
                <w:color w:val="475569"/>
                <w:sz w:val="17"/>
              </w:rPr>
              <w:t>Planned</w:t>
            </w:r>
          </w:p>
        </w:tc>
        <w:tc>
          <w:tcPr>
            <w:tcW w:type="dxa" w:w="821"/>
            <w:shd w:fill="ffffff"/>
            <w:tcMar>
              <w:top w:w="50" w:type="dxa"/>
              <w:bottom w:w="50" w:type="dxa"/>
              <w:left w:w="50" w:type="dxa"/>
              <w:right w:w="50" w:type="dxa"/>
            </w:tcMar>
          </w:tcPr>
          <w:p>
            <w:pPr>
              <w:spacing w:line="276" w:lineRule="auto" w:after="0"/>
            </w:pPr>
            <w:r>
              <w:rPr>
                <w:rFonts w:ascii="Times New Roman" w:hAnsi="Times New Roman"/>
                <w:sz w:val="17"/>
              </w:rPr>
              <w:t>Stage-II</w:t>
            </w:r>
          </w:p>
        </w:tc>
      </w:tr>
      <w:tr>
        <w:tc>
          <w:tcPr>
            <w:tcW w:type="dxa" w:w="1296"/>
            <w:shd w:fill="f8fafc"/>
            <w:tcMar>
              <w:top w:w="50" w:type="dxa"/>
              <w:bottom w:w="50" w:type="dxa"/>
              <w:left w:w="50" w:type="dxa"/>
              <w:right w:w="50" w:type="dxa"/>
            </w:tcMar>
          </w:tcPr>
          <w:p>
            <w:pPr>
              <w:spacing w:line="276" w:lineRule="auto" w:after="0"/>
            </w:pPr>
            <w:r>
              <w:rPr>
                <w:rFonts w:ascii="Times New Roman" w:hAnsi="Times New Roman"/>
                <w:b/>
                <w:color w:val="1E3A8A"/>
                <w:sz w:val="17"/>
              </w:rPr>
              <w:t>Phase 11</w:t>
            </w:r>
          </w:p>
        </w:tc>
        <w:tc>
          <w:tcPr>
            <w:tcW w:type="dxa" w:w="2592"/>
            <w:shd w:fill="f8fafc"/>
            <w:tcMar>
              <w:top w:w="50" w:type="dxa"/>
              <w:bottom w:w="50" w:type="dxa"/>
              <w:left w:w="50" w:type="dxa"/>
              <w:right w:w="50" w:type="dxa"/>
            </w:tcMar>
          </w:tcPr>
          <w:p>
            <w:pPr>
              <w:spacing w:line="276" w:lineRule="auto" w:after="0"/>
            </w:pPr>
            <w:r>
              <w:rPr>
                <w:rFonts w:ascii="Times New Roman" w:hAnsi="Times New Roman"/>
                <w:b/>
                <w:color w:val="0F172A"/>
                <w:sz w:val="17"/>
              </w:rPr>
              <w:t>Production QA &amp; Benchmarks</w:t>
            </w:r>
          </w:p>
        </w:tc>
        <w:tc>
          <w:tcPr>
            <w:tcW w:type="dxa" w:w="3168"/>
            <w:shd w:fill="f8fafc"/>
            <w:tcMar>
              <w:top w:w="50" w:type="dxa"/>
              <w:bottom w:w="50" w:type="dxa"/>
              <w:left w:w="50" w:type="dxa"/>
              <w:right w:w="50" w:type="dxa"/>
            </w:tcMar>
          </w:tcPr>
          <w:p>
            <w:pPr>
              <w:spacing w:line="276" w:lineRule="auto" w:after="0"/>
            </w:pPr>
            <w:r>
              <w:rPr>
                <w:rFonts w:ascii="Times New Roman" w:hAnsi="Times New Roman"/>
                <w:sz w:val="17"/>
              </w:rPr>
              <w:t>End-to-end Playwright tests, load testing, multi-tenant stress benchmarks.</w:t>
            </w:r>
          </w:p>
        </w:tc>
        <w:tc>
          <w:tcPr>
            <w:tcW w:type="dxa" w:w="1152"/>
            <w:shd w:fill="f8fafc"/>
            <w:tcMar>
              <w:top w:w="50" w:type="dxa"/>
              <w:bottom w:w="50" w:type="dxa"/>
              <w:left w:w="50" w:type="dxa"/>
              <w:right w:w="50" w:type="dxa"/>
            </w:tcMar>
          </w:tcPr>
          <w:p>
            <w:pPr>
              <w:spacing w:line="276" w:lineRule="auto" w:after="0"/>
            </w:pPr>
            <w:r>
              <w:rPr>
                <w:rFonts w:ascii="Times New Roman" w:hAnsi="Times New Roman"/>
                <w:b/>
                <w:color w:val="475569"/>
                <w:sz w:val="17"/>
              </w:rPr>
              <w:t>Planned</w:t>
            </w:r>
          </w:p>
        </w:tc>
        <w:tc>
          <w:tcPr>
            <w:tcW w:type="dxa" w:w="821"/>
            <w:shd w:fill="f8fafc"/>
            <w:tcMar>
              <w:top w:w="50" w:type="dxa"/>
              <w:bottom w:w="50" w:type="dxa"/>
              <w:left w:w="50" w:type="dxa"/>
              <w:right w:w="50" w:type="dxa"/>
            </w:tcMar>
          </w:tcPr>
          <w:p>
            <w:pPr>
              <w:spacing w:line="276" w:lineRule="auto" w:after="0"/>
            </w:pPr>
            <w:r>
              <w:rPr>
                <w:rFonts w:ascii="Times New Roman" w:hAnsi="Times New Roman"/>
                <w:sz w:val="17"/>
              </w:rPr>
              <w:t>Stage-II</w:t>
            </w:r>
          </w:p>
        </w:tc>
      </w:tr>
      <w:tr>
        <w:tc>
          <w:tcPr>
            <w:tcW w:type="dxa" w:w="1296"/>
            <w:shd w:fill="ffffff"/>
            <w:tcMar>
              <w:top w:w="50" w:type="dxa"/>
              <w:bottom w:w="50" w:type="dxa"/>
              <w:left w:w="50" w:type="dxa"/>
              <w:right w:w="50" w:type="dxa"/>
            </w:tcMar>
          </w:tcPr>
          <w:p>
            <w:pPr>
              <w:spacing w:line="276" w:lineRule="auto" w:after="0"/>
            </w:pPr>
            <w:r>
              <w:rPr>
                <w:rFonts w:ascii="Times New Roman" w:hAnsi="Times New Roman"/>
                <w:b/>
                <w:color w:val="1E3A8A"/>
                <w:sz w:val="17"/>
              </w:rPr>
              <w:t>Phase 12</w:t>
            </w:r>
          </w:p>
        </w:tc>
        <w:tc>
          <w:tcPr>
            <w:tcW w:type="dxa" w:w="2592"/>
            <w:shd w:fill="ffffff"/>
            <w:tcMar>
              <w:top w:w="50" w:type="dxa"/>
              <w:bottom w:w="50" w:type="dxa"/>
              <w:left w:w="50" w:type="dxa"/>
              <w:right w:w="50" w:type="dxa"/>
            </w:tcMar>
          </w:tcPr>
          <w:p>
            <w:pPr>
              <w:spacing w:line="276" w:lineRule="auto" w:after="0"/>
            </w:pPr>
            <w:r>
              <w:rPr>
                <w:rFonts w:ascii="Times New Roman" w:hAnsi="Times New Roman"/>
                <w:b/>
                <w:color w:val="0F172A"/>
                <w:sz w:val="17"/>
              </w:rPr>
              <w:t>Pilot Evaluation &amp; Iteration</w:t>
            </w:r>
          </w:p>
        </w:tc>
        <w:tc>
          <w:tcPr>
            <w:tcW w:type="dxa" w:w="3168"/>
            <w:shd w:fill="ffffff"/>
            <w:tcMar>
              <w:top w:w="50" w:type="dxa"/>
              <w:bottom w:w="50" w:type="dxa"/>
              <w:left w:w="50" w:type="dxa"/>
              <w:right w:w="50" w:type="dxa"/>
            </w:tcMar>
          </w:tcPr>
          <w:p>
            <w:pPr>
              <w:spacing w:line="276" w:lineRule="auto" w:after="0"/>
            </w:pPr>
            <w:r>
              <w:rPr>
                <w:rFonts w:ascii="Times New Roman" w:hAnsi="Times New Roman"/>
                <w:sz w:val="17"/>
              </w:rPr>
              <w:t>Undergraduate student cohort pilot study, efficacy &amp; usability metrics.</w:t>
            </w:r>
          </w:p>
        </w:tc>
        <w:tc>
          <w:tcPr>
            <w:tcW w:type="dxa" w:w="1152"/>
            <w:shd w:fill="ffffff"/>
            <w:tcMar>
              <w:top w:w="50" w:type="dxa"/>
              <w:bottom w:w="50" w:type="dxa"/>
              <w:left w:w="50" w:type="dxa"/>
              <w:right w:w="50" w:type="dxa"/>
            </w:tcMar>
          </w:tcPr>
          <w:p>
            <w:pPr>
              <w:spacing w:line="276" w:lineRule="auto" w:after="0"/>
            </w:pPr>
            <w:r>
              <w:rPr>
                <w:rFonts w:ascii="Times New Roman" w:hAnsi="Times New Roman"/>
                <w:b/>
                <w:color w:val="475569"/>
                <w:sz w:val="17"/>
              </w:rPr>
              <w:t>Planned</w:t>
            </w:r>
          </w:p>
        </w:tc>
        <w:tc>
          <w:tcPr>
            <w:tcW w:type="dxa" w:w="821"/>
            <w:shd w:fill="ffffff"/>
            <w:tcMar>
              <w:top w:w="50" w:type="dxa"/>
              <w:bottom w:w="50" w:type="dxa"/>
              <w:left w:w="50" w:type="dxa"/>
              <w:right w:w="50" w:type="dxa"/>
            </w:tcMar>
          </w:tcPr>
          <w:p>
            <w:pPr>
              <w:spacing w:line="276" w:lineRule="auto" w:after="0"/>
            </w:pPr>
            <w:r>
              <w:rPr>
                <w:rFonts w:ascii="Times New Roman" w:hAnsi="Times New Roman"/>
                <w:sz w:val="17"/>
              </w:rPr>
              <w:t>Stage-II</w:t>
            </w:r>
          </w:p>
        </w:tc>
      </w:tr>
    </w:tbl>
    <w:p>
      <w:pPr>
        <w:spacing w:after="120"/>
      </w:pPr>
    </w:p>
    <w:p>
      <w:pPr>
        <w:keepNext/>
        <w:spacing w:before="280" w:after="100"/>
      </w:pPr>
      <w:r>
        <w:rPr>
          <w:rFonts w:ascii="Times New Roman" w:hAnsi="Times New Roman"/>
          <w:b/>
          <w:color w:val="1E3A8A"/>
          <w:sz w:val="28"/>
        </w:rPr>
        <w:t>6.3 Testing and Validation Approach</w:t>
      </w:r>
    </w:p>
    <w:p>
      <w:pPr>
        <w:spacing w:line="360" w:lineRule="auto" w:after="120"/>
        <w:jc w:val="both"/>
      </w:pPr>
      <w:r>
        <w:rPr>
          <w:rFonts w:ascii="Times New Roman" w:hAnsi="Times New Roman"/>
          <w:sz w:val="24"/>
        </w:rPr>
        <w:t>The platform is validated through a comprehensive automated test harness using Vitest 2.1.9. Rather than relying on subjective manual testing, all core modules are evaluated through automated unit and integration suites. Table 6.2 summarizes the verified test results executing in the codebase:</w:t>
      </w:r>
    </w:p>
    <w:p>
      <w:pPr>
        <w:spacing w:before="160" w:after="40"/>
        <w:jc w:val="center"/>
      </w:pPr>
      <w:r>
        <w:rPr>
          <w:rFonts w:ascii="Times New Roman" w:hAnsi="Times New Roman"/>
          <w:b/>
          <w:i/>
          <w:color w:val="1E3A8A"/>
          <w:sz w:val="20"/>
        </w:rPr>
        <w:t>Table 6.2: Vitest Automated Test Suite Execution Summary (34 Tests, 8 Suites, 100% Passing).</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06"/>
        <w:gridCol w:w="1806"/>
        <w:gridCol w:w="1806"/>
        <w:gridCol w:w="1806"/>
        <w:gridCol w:w="1806"/>
      </w:tblGrid>
      <w:tr>
        <w:tc>
          <w:tcPr>
            <w:tcW w:type="dxa" w:w="3024"/>
            <w:shd w:fill="1e3a8a"/>
            <w:tcMar>
              <w:top w:w="70" w:type="dxa"/>
              <w:bottom w:w="70" w:type="dxa"/>
              <w:left w:w="50" w:type="dxa"/>
              <w:right w:w="50" w:type="dxa"/>
            </w:tcMar>
          </w:tcPr>
          <w:p>
            <w:pPr>
              <w:spacing w:after="0"/>
              <w:jc w:val="center"/>
            </w:pPr>
            <w:r>
              <w:rPr>
                <w:rFonts w:ascii="Times New Roman" w:hAnsi="Times New Roman"/>
                <w:b/>
                <w:color w:val="FFFFFF"/>
                <w:sz w:val="19"/>
              </w:rPr>
              <w:t>Test Suite File</w:t>
            </w:r>
          </w:p>
        </w:tc>
        <w:tc>
          <w:tcPr>
            <w:tcW w:type="dxa" w:w="1152"/>
            <w:shd w:fill="1e3a8a"/>
            <w:tcMar>
              <w:top w:w="70" w:type="dxa"/>
              <w:bottom w:w="70" w:type="dxa"/>
              <w:left w:w="50" w:type="dxa"/>
              <w:right w:w="50" w:type="dxa"/>
            </w:tcMar>
          </w:tcPr>
          <w:p>
            <w:pPr>
              <w:spacing w:after="0"/>
              <w:jc w:val="center"/>
            </w:pPr>
            <w:r>
              <w:rPr>
                <w:rFonts w:ascii="Times New Roman" w:hAnsi="Times New Roman"/>
                <w:b/>
                <w:color w:val="FFFFFF"/>
                <w:sz w:val="19"/>
              </w:rPr>
              <w:t>Tests</w:t>
            </w:r>
          </w:p>
        </w:tc>
        <w:tc>
          <w:tcPr>
            <w:tcW w:type="dxa" w:w="1008"/>
            <w:shd w:fill="1e3a8a"/>
            <w:tcMar>
              <w:top w:w="70" w:type="dxa"/>
              <w:bottom w:w="70" w:type="dxa"/>
              <w:left w:w="50" w:type="dxa"/>
              <w:right w:w="50" w:type="dxa"/>
            </w:tcMar>
          </w:tcPr>
          <w:p>
            <w:pPr>
              <w:spacing w:after="0"/>
              <w:jc w:val="center"/>
            </w:pPr>
            <w:r>
              <w:rPr>
                <w:rFonts w:ascii="Times New Roman" w:hAnsi="Times New Roman"/>
                <w:b/>
                <w:color w:val="FFFFFF"/>
                <w:sz w:val="19"/>
              </w:rPr>
              <w:t>Duration</w:t>
            </w:r>
          </w:p>
        </w:tc>
        <w:tc>
          <w:tcPr>
            <w:tcW w:type="dxa" w:w="1296"/>
            <w:shd w:fill="1e3a8a"/>
            <w:tcMar>
              <w:top w:w="70" w:type="dxa"/>
              <w:bottom w:w="70" w:type="dxa"/>
              <w:left w:w="50" w:type="dxa"/>
              <w:right w:w="50" w:type="dxa"/>
            </w:tcMar>
          </w:tcPr>
          <w:p>
            <w:pPr>
              <w:spacing w:after="0"/>
              <w:jc w:val="center"/>
            </w:pPr>
            <w:r>
              <w:rPr>
                <w:rFonts w:ascii="Times New Roman" w:hAnsi="Times New Roman"/>
                <w:b/>
                <w:color w:val="FFFFFF"/>
                <w:sz w:val="19"/>
              </w:rPr>
              <w:t>Result</w:t>
            </w:r>
          </w:p>
        </w:tc>
        <w:tc>
          <w:tcPr>
            <w:tcW w:type="dxa" w:w="2549"/>
            <w:shd w:fill="1e3a8a"/>
            <w:tcMar>
              <w:top w:w="70" w:type="dxa"/>
              <w:bottom w:w="70" w:type="dxa"/>
              <w:left w:w="50" w:type="dxa"/>
              <w:right w:w="50" w:type="dxa"/>
            </w:tcMar>
          </w:tcPr>
          <w:p>
            <w:pPr>
              <w:spacing w:after="0"/>
              <w:jc w:val="center"/>
            </w:pPr>
            <w:r>
              <w:rPr>
                <w:rFonts w:ascii="Times New Roman" w:hAnsi="Times New Roman"/>
                <w:b/>
                <w:color w:val="FFFFFF"/>
                <w:sz w:val="19"/>
              </w:rPr>
              <w:t>Verified Engineering Scope</w:t>
            </w:r>
          </w:p>
        </w:tc>
      </w:tr>
      <w:tr>
        <w:tc>
          <w:tcPr>
            <w:tcW w:type="dxa" w:w="3024"/>
            <w:shd w:fill="ffffff"/>
            <w:tcMar>
              <w:top w:w="50" w:type="dxa"/>
              <w:bottom w:w="50" w:type="dxa"/>
              <w:left w:w="50" w:type="dxa"/>
              <w:right w:w="50" w:type="dxa"/>
            </w:tcMar>
          </w:tcPr>
          <w:p>
            <w:pPr>
              <w:spacing w:line="276" w:lineRule="auto" w:after="0"/>
            </w:pPr>
            <w:r>
              <w:rPr>
                <w:rFonts w:ascii="Times New Roman" w:hAnsi="Times New Roman"/>
                <w:b/>
                <w:color w:val="1E3A8A"/>
                <w:sz w:val="17"/>
              </w:rPr>
              <w:t>src/tests/auth.test.ts</w:t>
            </w:r>
          </w:p>
        </w:tc>
        <w:tc>
          <w:tcPr>
            <w:tcW w:type="dxa" w:w="1152"/>
            <w:shd w:fill="ffffff"/>
            <w:tcMar>
              <w:top w:w="50" w:type="dxa"/>
              <w:bottom w:w="50" w:type="dxa"/>
              <w:left w:w="50" w:type="dxa"/>
              <w:right w:w="50" w:type="dxa"/>
            </w:tcMar>
          </w:tcPr>
          <w:p>
            <w:pPr>
              <w:spacing w:line="276" w:lineRule="auto" w:after="0"/>
            </w:pPr>
            <w:r>
              <w:rPr>
                <w:rFonts w:ascii="Times New Roman" w:hAnsi="Times New Roman"/>
                <w:sz w:val="17"/>
              </w:rPr>
              <w:t>3 Tests</w:t>
            </w:r>
          </w:p>
        </w:tc>
        <w:tc>
          <w:tcPr>
            <w:tcW w:type="dxa" w:w="1008"/>
            <w:shd w:fill="ffffff"/>
            <w:tcMar>
              <w:top w:w="50" w:type="dxa"/>
              <w:bottom w:w="50" w:type="dxa"/>
              <w:left w:w="50" w:type="dxa"/>
              <w:right w:w="50" w:type="dxa"/>
            </w:tcMar>
          </w:tcPr>
          <w:p>
            <w:pPr>
              <w:spacing w:line="276" w:lineRule="auto" w:after="0"/>
            </w:pPr>
            <w:r>
              <w:rPr>
                <w:rFonts w:ascii="Times New Roman" w:hAnsi="Times New Roman"/>
                <w:sz w:val="17"/>
              </w:rPr>
              <w:t>1110 ms</w:t>
            </w:r>
          </w:p>
        </w:tc>
        <w:tc>
          <w:tcPr>
            <w:tcW w:type="dxa" w:w="1296"/>
            <w:shd w:fill="ffffff"/>
            <w:tcMar>
              <w:top w:w="50" w:type="dxa"/>
              <w:bottom w:w="50" w:type="dxa"/>
              <w:left w:w="50" w:type="dxa"/>
              <w:right w:w="50" w:type="dxa"/>
            </w:tcMar>
          </w:tcPr>
          <w:p>
            <w:pPr>
              <w:spacing w:line="276" w:lineRule="auto" w:after="0"/>
            </w:pPr>
            <w:r>
              <w:rPr>
                <w:rFonts w:ascii="Times New Roman" w:hAnsi="Times New Roman"/>
                <w:b/>
                <w:color w:val="059669"/>
                <w:sz w:val="17"/>
              </w:rPr>
              <w:t>Passed (100%)</w:t>
            </w:r>
          </w:p>
        </w:tc>
        <w:tc>
          <w:tcPr>
            <w:tcW w:type="dxa" w:w="2549"/>
            <w:shd w:fill="ffffff"/>
            <w:tcMar>
              <w:top w:w="50" w:type="dxa"/>
              <w:bottom w:w="50" w:type="dxa"/>
              <w:left w:w="50" w:type="dxa"/>
              <w:right w:w="50" w:type="dxa"/>
            </w:tcMar>
          </w:tcPr>
          <w:p>
            <w:pPr>
              <w:spacing w:line="276" w:lineRule="auto" w:after="0"/>
            </w:pPr>
            <w:r>
              <w:rPr>
                <w:rFonts w:ascii="Times New Roman" w:hAnsi="Times New Roman"/>
                <w:sz w:val="17"/>
              </w:rPr>
              <w:t>Validates bcryptjs password hashing, JWT session signing, token verification, and password reset flows.</w:t>
            </w:r>
          </w:p>
        </w:tc>
      </w:tr>
      <w:tr>
        <w:tc>
          <w:tcPr>
            <w:tcW w:type="dxa" w:w="3024"/>
            <w:shd w:fill="f8fafc"/>
            <w:tcMar>
              <w:top w:w="50" w:type="dxa"/>
              <w:bottom w:w="50" w:type="dxa"/>
              <w:left w:w="50" w:type="dxa"/>
              <w:right w:w="50" w:type="dxa"/>
            </w:tcMar>
          </w:tcPr>
          <w:p>
            <w:pPr>
              <w:spacing w:line="276" w:lineRule="auto" w:after="0"/>
            </w:pPr>
            <w:r>
              <w:rPr>
                <w:rFonts w:ascii="Times New Roman" w:hAnsi="Times New Roman"/>
                <w:b/>
                <w:color w:val="1E3A8A"/>
                <w:sz w:val="17"/>
              </w:rPr>
              <w:t>src/tests/rbac.test.ts</w:t>
            </w:r>
          </w:p>
        </w:tc>
        <w:tc>
          <w:tcPr>
            <w:tcW w:type="dxa" w:w="1152"/>
            <w:shd w:fill="f8fafc"/>
            <w:tcMar>
              <w:top w:w="50" w:type="dxa"/>
              <w:bottom w:w="50" w:type="dxa"/>
              <w:left w:w="50" w:type="dxa"/>
              <w:right w:w="50" w:type="dxa"/>
            </w:tcMar>
          </w:tcPr>
          <w:p>
            <w:pPr>
              <w:spacing w:line="276" w:lineRule="auto" w:after="0"/>
            </w:pPr>
            <w:r>
              <w:rPr>
                <w:rFonts w:ascii="Times New Roman" w:hAnsi="Times New Roman"/>
                <w:sz w:val="17"/>
              </w:rPr>
              <w:t>4 Tests</w:t>
            </w:r>
          </w:p>
        </w:tc>
        <w:tc>
          <w:tcPr>
            <w:tcW w:type="dxa" w:w="1008"/>
            <w:shd w:fill="f8fafc"/>
            <w:tcMar>
              <w:top w:w="50" w:type="dxa"/>
              <w:bottom w:w="50" w:type="dxa"/>
              <w:left w:w="50" w:type="dxa"/>
              <w:right w:w="50" w:type="dxa"/>
            </w:tcMar>
          </w:tcPr>
          <w:p>
            <w:pPr>
              <w:spacing w:line="276" w:lineRule="auto" w:after="0"/>
            </w:pPr>
            <w:r>
              <w:rPr>
                <w:rFonts w:ascii="Times New Roman" w:hAnsi="Times New Roman"/>
                <w:sz w:val="17"/>
              </w:rPr>
              <w:t>9 ms</w:t>
            </w:r>
          </w:p>
        </w:tc>
        <w:tc>
          <w:tcPr>
            <w:tcW w:type="dxa" w:w="1296"/>
            <w:shd w:fill="f8fafc"/>
            <w:tcMar>
              <w:top w:w="50" w:type="dxa"/>
              <w:bottom w:w="50" w:type="dxa"/>
              <w:left w:w="50" w:type="dxa"/>
              <w:right w:w="50" w:type="dxa"/>
            </w:tcMar>
          </w:tcPr>
          <w:p>
            <w:pPr>
              <w:spacing w:line="276" w:lineRule="auto" w:after="0"/>
            </w:pPr>
            <w:r>
              <w:rPr>
                <w:rFonts w:ascii="Times New Roman" w:hAnsi="Times New Roman"/>
                <w:b/>
                <w:color w:val="059669"/>
                <w:sz w:val="17"/>
              </w:rPr>
              <w:t>Passed (100%)</w:t>
            </w:r>
          </w:p>
        </w:tc>
        <w:tc>
          <w:tcPr>
            <w:tcW w:type="dxa" w:w="2549"/>
            <w:shd w:fill="f8fafc"/>
            <w:tcMar>
              <w:top w:w="50" w:type="dxa"/>
              <w:bottom w:w="50" w:type="dxa"/>
              <w:left w:w="50" w:type="dxa"/>
              <w:right w:w="50" w:type="dxa"/>
            </w:tcMar>
          </w:tcPr>
          <w:p>
            <w:pPr>
              <w:spacing w:line="276" w:lineRule="auto" w:after="0"/>
            </w:pPr>
            <w:r>
              <w:rPr>
                <w:rFonts w:ascii="Times New Roman" w:hAnsi="Times New Roman"/>
                <w:sz w:val="17"/>
              </w:rPr>
              <w:t>Verifies role-based permission matrix, preventing student access to administrative endpoints and content author tools.</w:t>
            </w:r>
          </w:p>
        </w:tc>
      </w:tr>
      <w:tr>
        <w:tc>
          <w:tcPr>
            <w:tcW w:type="dxa" w:w="3024"/>
            <w:shd w:fill="ffffff"/>
            <w:tcMar>
              <w:top w:w="50" w:type="dxa"/>
              <w:bottom w:w="50" w:type="dxa"/>
              <w:left w:w="50" w:type="dxa"/>
              <w:right w:w="50" w:type="dxa"/>
            </w:tcMar>
          </w:tcPr>
          <w:p>
            <w:pPr>
              <w:spacing w:line="276" w:lineRule="auto" w:after="0"/>
            </w:pPr>
            <w:r>
              <w:rPr>
                <w:rFonts w:ascii="Times New Roman" w:hAnsi="Times New Roman"/>
                <w:b/>
                <w:color w:val="1E3A8A"/>
                <w:sz w:val="17"/>
              </w:rPr>
              <w:t>src/tests/domain.test.ts</w:t>
            </w:r>
          </w:p>
        </w:tc>
        <w:tc>
          <w:tcPr>
            <w:tcW w:type="dxa" w:w="1152"/>
            <w:shd w:fill="ffffff"/>
            <w:tcMar>
              <w:top w:w="50" w:type="dxa"/>
              <w:bottom w:w="50" w:type="dxa"/>
              <w:left w:w="50" w:type="dxa"/>
              <w:right w:w="50" w:type="dxa"/>
            </w:tcMar>
          </w:tcPr>
          <w:p>
            <w:pPr>
              <w:spacing w:line="276" w:lineRule="auto" w:after="0"/>
            </w:pPr>
            <w:r>
              <w:rPr>
                <w:rFonts w:ascii="Times New Roman" w:hAnsi="Times New Roman"/>
                <w:sz w:val="17"/>
              </w:rPr>
              <w:t>5 Tests</w:t>
            </w:r>
          </w:p>
        </w:tc>
        <w:tc>
          <w:tcPr>
            <w:tcW w:type="dxa" w:w="1008"/>
            <w:shd w:fill="ffffff"/>
            <w:tcMar>
              <w:top w:w="50" w:type="dxa"/>
              <w:bottom w:w="50" w:type="dxa"/>
              <w:left w:w="50" w:type="dxa"/>
              <w:right w:w="50" w:type="dxa"/>
            </w:tcMar>
          </w:tcPr>
          <w:p>
            <w:pPr>
              <w:spacing w:line="276" w:lineRule="auto" w:after="0"/>
            </w:pPr>
            <w:r>
              <w:rPr>
                <w:rFonts w:ascii="Times New Roman" w:hAnsi="Times New Roman"/>
                <w:sz w:val="17"/>
              </w:rPr>
              <w:t>200 ms</w:t>
            </w:r>
          </w:p>
        </w:tc>
        <w:tc>
          <w:tcPr>
            <w:tcW w:type="dxa" w:w="1296"/>
            <w:shd w:fill="ffffff"/>
            <w:tcMar>
              <w:top w:w="50" w:type="dxa"/>
              <w:bottom w:w="50" w:type="dxa"/>
              <w:left w:w="50" w:type="dxa"/>
              <w:right w:w="50" w:type="dxa"/>
            </w:tcMar>
          </w:tcPr>
          <w:p>
            <w:pPr>
              <w:spacing w:line="276" w:lineRule="auto" w:after="0"/>
            </w:pPr>
            <w:r>
              <w:rPr>
                <w:rFonts w:ascii="Times New Roman" w:hAnsi="Times New Roman"/>
                <w:b/>
                <w:color w:val="059669"/>
                <w:sz w:val="17"/>
              </w:rPr>
              <w:t>Passed (100%)</w:t>
            </w:r>
          </w:p>
        </w:tc>
        <w:tc>
          <w:tcPr>
            <w:tcW w:type="dxa" w:w="2549"/>
            <w:shd w:fill="ffffff"/>
            <w:tcMar>
              <w:top w:w="50" w:type="dxa"/>
              <w:bottom w:w="50" w:type="dxa"/>
              <w:left w:w="50" w:type="dxa"/>
              <w:right w:w="50" w:type="dxa"/>
            </w:tcMar>
          </w:tcPr>
          <w:p>
            <w:pPr>
              <w:spacing w:line="276" w:lineRule="auto" w:after="0"/>
            </w:pPr>
            <w:r>
              <w:rPr>
                <w:rFonts w:ascii="Times New Roman" w:hAnsi="Times New Roman"/>
                <w:sz w:val="17"/>
              </w:rPr>
              <w:t>Enforces Prisma referential integrity, foreign key cascades, unique email constraints, and 21-entity relational bindings.</w:t>
            </w:r>
          </w:p>
        </w:tc>
      </w:tr>
      <w:tr>
        <w:tc>
          <w:tcPr>
            <w:tcW w:type="dxa" w:w="3024"/>
            <w:shd w:fill="f8fafc"/>
            <w:tcMar>
              <w:top w:w="50" w:type="dxa"/>
              <w:bottom w:w="50" w:type="dxa"/>
              <w:left w:w="50" w:type="dxa"/>
              <w:right w:w="50" w:type="dxa"/>
            </w:tcMar>
          </w:tcPr>
          <w:p>
            <w:pPr>
              <w:spacing w:line="276" w:lineRule="auto" w:after="0"/>
            </w:pPr>
            <w:r>
              <w:rPr>
                <w:rFonts w:ascii="Times New Roman" w:hAnsi="Times New Roman"/>
                <w:b/>
                <w:color w:val="1E3A8A"/>
                <w:sz w:val="17"/>
              </w:rPr>
              <w:t>src/tests/validation.test.ts</w:t>
            </w:r>
          </w:p>
        </w:tc>
        <w:tc>
          <w:tcPr>
            <w:tcW w:type="dxa" w:w="1152"/>
            <w:shd w:fill="f8fafc"/>
            <w:tcMar>
              <w:top w:w="50" w:type="dxa"/>
              <w:bottom w:w="50" w:type="dxa"/>
              <w:left w:w="50" w:type="dxa"/>
              <w:right w:w="50" w:type="dxa"/>
            </w:tcMar>
          </w:tcPr>
          <w:p>
            <w:pPr>
              <w:spacing w:line="276" w:lineRule="auto" w:after="0"/>
            </w:pPr>
            <w:r>
              <w:rPr>
                <w:rFonts w:ascii="Times New Roman" w:hAnsi="Times New Roman"/>
                <w:sz w:val="17"/>
              </w:rPr>
              <w:t>4 Tests</w:t>
            </w:r>
          </w:p>
        </w:tc>
        <w:tc>
          <w:tcPr>
            <w:tcW w:type="dxa" w:w="1008"/>
            <w:shd w:fill="f8fafc"/>
            <w:tcMar>
              <w:top w:w="50" w:type="dxa"/>
              <w:bottom w:w="50" w:type="dxa"/>
              <w:left w:w="50" w:type="dxa"/>
              <w:right w:w="50" w:type="dxa"/>
            </w:tcMar>
          </w:tcPr>
          <w:p>
            <w:pPr>
              <w:spacing w:line="276" w:lineRule="auto" w:after="0"/>
            </w:pPr>
            <w:r>
              <w:rPr>
                <w:rFonts w:ascii="Times New Roman" w:hAnsi="Times New Roman"/>
                <w:sz w:val="17"/>
              </w:rPr>
              <w:t>18 ms</w:t>
            </w:r>
          </w:p>
        </w:tc>
        <w:tc>
          <w:tcPr>
            <w:tcW w:type="dxa" w:w="1296"/>
            <w:shd w:fill="f8fafc"/>
            <w:tcMar>
              <w:top w:w="50" w:type="dxa"/>
              <w:bottom w:w="50" w:type="dxa"/>
              <w:left w:w="50" w:type="dxa"/>
              <w:right w:w="50" w:type="dxa"/>
            </w:tcMar>
          </w:tcPr>
          <w:p>
            <w:pPr>
              <w:spacing w:line="276" w:lineRule="auto" w:after="0"/>
            </w:pPr>
            <w:r>
              <w:rPr>
                <w:rFonts w:ascii="Times New Roman" w:hAnsi="Times New Roman"/>
                <w:b/>
                <w:color w:val="059669"/>
                <w:sz w:val="17"/>
              </w:rPr>
              <w:t>Passed (100%)</w:t>
            </w:r>
          </w:p>
        </w:tc>
        <w:tc>
          <w:tcPr>
            <w:tcW w:type="dxa" w:w="2549"/>
            <w:shd w:fill="f8fafc"/>
            <w:tcMar>
              <w:top w:w="50" w:type="dxa"/>
              <w:bottom w:w="50" w:type="dxa"/>
              <w:left w:w="50" w:type="dxa"/>
              <w:right w:w="50" w:type="dxa"/>
            </w:tcMar>
          </w:tcPr>
          <w:p>
            <w:pPr>
              <w:spacing w:line="276" w:lineRule="auto" w:after="0"/>
            </w:pPr>
            <w:r>
              <w:rPr>
                <w:rFonts w:ascii="Times New Roman" w:hAnsi="Times New Roman"/>
                <w:sz w:val="17"/>
              </w:rPr>
              <w:t>Tests Zod input sanitization, password complexity constraints, and malicious payload rejection.</w:t>
            </w:r>
          </w:p>
        </w:tc>
      </w:tr>
      <w:tr>
        <w:tc>
          <w:tcPr>
            <w:tcW w:type="dxa" w:w="3024"/>
            <w:shd w:fill="ffffff"/>
            <w:tcMar>
              <w:top w:w="50" w:type="dxa"/>
              <w:bottom w:w="50" w:type="dxa"/>
              <w:left w:w="50" w:type="dxa"/>
              <w:right w:w="50" w:type="dxa"/>
            </w:tcMar>
          </w:tcPr>
          <w:p>
            <w:pPr>
              <w:spacing w:line="276" w:lineRule="auto" w:after="0"/>
            </w:pPr>
            <w:r>
              <w:rPr>
                <w:rFonts w:ascii="Times New Roman" w:hAnsi="Times New Roman"/>
                <w:b/>
                <w:color w:val="1E3A8A"/>
                <w:sz w:val="17"/>
              </w:rPr>
              <w:t>src/tests/validator.test.ts</w:t>
            </w:r>
          </w:p>
        </w:tc>
        <w:tc>
          <w:tcPr>
            <w:tcW w:type="dxa" w:w="1152"/>
            <w:shd w:fill="ffffff"/>
            <w:tcMar>
              <w:top w:w="50" w:type="dxa"/>
              <w:bottom w:w="50" w:type="dxa"/>
              <w:left w:w="50" w:type="dxa"/>
              <w:right w:w="50" w:type="dxa"/>
            </w:tcMar>
          </w:tcPr>
          <w:p>
            <w:pPr>
              <w:spacing w:line="276" w:lineRule="auto" w:after="0"/>
            </w:pPr>
            <w:r>
              <w:rPr>
                <w:rFonts w:ascii="Times New Roman" w:hAnsi="Times New Roman"/>
                <w:sz w:val="17"/>
              </w:rPr>
              <w:t>6 Tests</w:t>
            </w:r>
          </w:p>
        </w:tc>
        <w:tc>
          <w:tcPr>
            <w:tcW w:type="dxa" w:w="1008"/>
            <w:shd w:fill="ffffff"/>
            <w:tcMar>
              <w:top w:w="50" w:type="dxa"/>
              <w:bottom w:w="50" w:type="dxa"/>
              <w:left w:w="50" w:type="dxa"/>
              <w:right w:w="50" w:type="dxa"/>
            </w:tcMar>
          </w:tcPr>
          <w:p>
            <w:pPr>
              <w:spacing w:line="276" w:lineRule="auto" w:after="0"/>
            </w:pPr>
            <w:r>
              <w:rPr>
                <w:rFonts w:ascii="Times New Roman" w:hAnsi="Times New Roman"/>
                <w:sz w:val="17"/>
              </w:rPr>
              <w:t>42 ms</w:t>
            </w:r>
          </w:p>
        </w:tc>
        <w:tc>
          <w:tcPr>
            <w:tcW w:type="dxa" w:w="1296"/>
            <w:shd w:fill="ffffff"/>
            <w:tcMar>
              <w:top w:w="50" w:type="dxa"/>
              <w:bottom w:w="50" w:type="dxa"/>
              <w:left w:w="50" w:type="dxa"/>
              <w:right w:w="50" w:type="dxa"/>
            </w:tcMar>
          </w:tcPr>
          <w:p>
            <w:pPr>
              <w:spacing w:line="276" w:lineRule="auto" w:after="0"/>
            </w:pPr>
            <w:r>
              <w:rPr>
                <w:rFonts w:ascii="Times New Roman" w:hAnsi="Times New Roman"/>
                <w:b/>
                <w:color w:val="059669"/>
                <w:sz w:val="17"/>
              </w:rPr>
              <w:t>Passed (100%)</w:t>
            </w:r>
          </w:p>
        </w:tc>
        <w:tc>
          <w:tcPr>
            <w:tcW w:type="dxa" w:w="2549"/>
            <w:shd w:fill="ffffff"/>
            <w:tcMar>
              <w:top w:w="50" w:type="dxa"/>
              <w:bottom w:w="50" w:type="dxa"/>
              <w:left w:w="50" w:type="dxa"/>
              <w:right w:w="50" w:type="dxa"/>
            </w:tcMar>
          </w:tcPr>
          <w:p>
            <w:pPr>
              <w:spacing w:line="276" w:lineRule="auto" w:after="0"/>
            </w:pPr>
            <w:r>
              <w:rPr>
                <w:rFonts w:ascii="Times New Roman" w:hAnsi="Times New Roman"/>
                <w:sz w:val="17"/>
              </w:rPr>
              <w:t>Validates task schema validation engine, environment configuration formats, and rubric weighting rules.</w:t>
            </w:r>
          </w:p>
        </w:tc>
      </w:tr>
      <w:tr>
        <w:tc>
          <w:tcPr>
            <w:tcW w:type="dxa" w:w="3024"/>
            <w:shd w:fill="f8fafc"/>
            <w:tcMar>
              <w:top w:w="50" w:type="dxa"/>
              <w:bottom w:w="50" w:type="dxa"/>
              <w:left w:w="50" w:type="dxa"/>
              <w:right w:w="50" w:type="dxa"/>
            </w:tcMar>
          </w:tcPr>
          <w:p>
            <w:pPr>
              <w:spacing w:line="276" w:lineRule="auto" w:after="0"/>
            </w:pPr>
            <w:r>
              <w:rPr>
                <w:rFonts w:ascii="Times New Roman" w:hAnsi="Times New Roman"/>
                <w:b/>
                <w:color w:val="1E3A8A"/>
                <w:sz w:val="17"/>
              </w:rPr>
              <w:t>src/tests/admin-authoring.test.ts</w:t>
            </w:r>
          </w:p>
        </w:tc>
        <w:tc>
          <w:tcPr>
            <w:tcW w:type="dxa" w:w="1152"/>
            <w:shd w:fill="f8fafc"/>
            <w:tcMar>
              <w:top w:w="50" w:type="dxa"/>
              <w:bottom w:w="50" w:type="dxa"/>
              <w:left w:w="50" w:type="dxa"/>
              <w:right w:w="50" w:type="dxa"/>
            </w:tcMar>
          </w:tcPr>
          <w:p>
            <w:pPr>
              <w:spacing w:line="276" w:lineRule="auto" w:after="0"/>
            </w:pPr>
            <w:r>
              <w:rPr>
                <w:rFonts w:ascii="Times New Roman" w:hAnsi="Times New Roman"/>
                <w:sz w:val="17"/>
              </w:rPr>
              <w:t>1 Test</w:t>
            </w:r>
          </w:p>
        </w:tc>
        <w:tc>
          <w:tcPr>
            <w:tcW w:type="dxa" w:w="1008"/>
            <w:shd w:fill="f8fafc"/>
            <w:tcMar>
              <w:top w:w="50" w:type="dxa"/>
              <w:bottom w:w="50" w:type="dxa"/>
              <w:left w:w="50" w:type="dxa"/>
              <w:right w:w="50" w:type="dxa"/>
            </w:tcMar>
          </w:tcPr>
          <w:p>
            <w:pPr>
              <w:spacing w:line="276" w:lineRule="auto" w:after="0"/>
            </w:pPr>
            <w:r>
              <w:rPr>
                <w:rFonts w:ascii="Times New Roman" w:hAnsi="Times New Roman"/>
                <w:sz w:val="17"/>
              </w:rPr>
              <w:t>180 ms</w:t>
            </w:r>
          </w:p>
        </w:tc>
        <w:tc>
          <w:tcPr>
            <w:tcW w:type="dxa" w:w="1296"/>
            <w:shd w:fill="f8fafc"/>
            <w:tcMar>
              <w:top w:w="50" w:type="dxa"/>
              <w:bottom w:w="50" w:type="dxa"/>
              <w:left w:w="50" w:type="dxa"/>
              <w:right w:w="50" w:type="dxa"/>
            </w:tcMar>
          </w:tcPr>
          <w:p>
            <w:pPr>
              <w:spacing w:line="276" w:lineRule="auto" w:after="0"/>
            </w:pPr>
            <w:r>
              <w:rPr>
                <w:rFonts w:ascii="Times New Roman" w:hAnsi="Times New Roman"/>
                <w:b/>
                <w:color w:val="059669"/>
                <w:sz w:val="17"/>
              </w:rPr>
              <w:t>Passed (100%)</w:t>
            </w:r>
          </w:p>
        </w:tc>
        <w:tc>
          <w:tcPr>
            <w:tcW w:type="dxa" w:w="2549"/>
            <w:shd w:fill="f8fafc"/>
            <w:tcMar>
              <w:top w:w="50" w:type="dxa"/>
              <w:bottom w:w="50" w:type="dxa"/>
              <w:left w:w="50" w:type="dxa"/>
              <w:right w:w="50" w:type="dxa"/>
            </w:tcMar>
          </w:tcPr>
          <w:p>
            <w:pPr>
              <w:spacing w:line="276" w:lineRule="auto" w:after="0"/>
            </w:pPr>
            <w:r>
              <w:rPr>
                <w:rFonts w:ascii="Times New Roman" w:hAnsi="Times New Roman"/>
                <w:sz w:val="17"/>
              </w:rPr>
              <w:t>Tests dynamic simulation track creation, task ticket persistence, and team topology mapping via admin APIs.</w:t>
            </w:r>
          </w:p>
        </w:tc>
      </w:tr>
      <w:tr>
        <w:tc>
          <w:tcPr>
            <w:tcW w:type="dxa" w:w="3024"/>
            <w:shd w:fill="ffffff"/>
            <w:tcMar>
              <w:top w:w="50" w:type="dxa"/>
              <w:bottom w:w="50" w:type="dxa"/>
              <w:left w:w="50" w:type="dxa"/>
              <w:right w:w="50" w:type="dxa"/>
            </w:tcMar>
          </w:tcPr>
          <w:p>
            <w:pPr>
              <w:spacing w:line="276" w:lineRule="auto" w:after="0"/>
            </w:pPr>
            <w:r>
              <w:rPr>
                <w:rFonts w:ascii="Times New Roman" w:hAnsi="Times New Roman"/>
                <w:b/>
                <w:color w:val="1E3A8A"/>
                <w:sz w:val="17"/>
              </w:rPr>
              <w:t>src/tests/workspace-orchestrator.test.ts</w:t>
            </w:r>
          </w:p>
        </w:tc>
        <w:tc>
          <w:tcPr>
            <w:tcW w:type="dxa" w:w="1152"/>
            <w:shd w:fill="ffffff"/>
            <w:tcMar>
              <w:top w:w="50" w:type="dxa"/>
              <w:bottom w:w="50" w:type="dxa"/>
              <w:left w:w="50" w:type="dxa"/>
              <w:right w:w="50" w:type="dxa"/>
            </w:tcMar>
          </w:tcPr>
          <w:p>
            <w:pPr>
              <w:spacing w:line="276" w:lineRule="auto" w:after="0"/>
            </w:pPr>
            <w:r>
              <w:rPr>
                <w:rFonts w:ascii="Times New Roman" w:hAnsi="Times New Roman"/>
                <w:sz w:val="17"/>
              </w:rPr>
              <w:t>4 Tests</w:t>
            </w:r>
          </w:p>
        </w:tc>
        <w:tc>
          <w:tcPr>
            <w:tcW w:type="dxa" w:w="1008"/>
            <w:shd w:fill="ffffff"/>
            <w:tcMar>
              <w:top w:w="50" w:type="dxa"/>
              <w:bottom w:w="50" w:type="dxa"/>
              <w:left w:w="50" w:type="dxa"/>
              <w:right w:w="50" w:type="dxa"/>
            </w:tcMar>
          </w:tcPr>
          <w:p>
            <w:pPr>
              <w:spacing w:line="276" w:lineRule="auto" w:after="0"/>
            </w:pPr>
            <w:r>
              <w:rPr>
                <w:rFonts w:ascii="Times New Roman" w:hAnsi="Times New Roman"/>
                <w:sz w:val="17"/>
              </w:rPr>
              <w:t>1766 ms</w:t>
            </w:r>
          </w:p>
        </w:tc>
        <w:tc>
          <w:tcPr>
            <w:tcW w:type="dxa" w:w="1296"/>
            <w:shd w:fill="ffffff"/>
            <w:tcMar>
              <w:top w:w="50" w:type="dxa"/>
              <w:bottom w:w="50" w:type="dxa"/>
              <w:left w:w="50" w:type="dxa"/>
              <w:right w:w="50" w:type="dxa"/>
            </w:tcMar>
          </w:tcPr>
          <w:p>
            <w:pPr>
              <w:spacing w:line="276" w:lineRule="auto" w:after="0"/>
            </w:pPr>
            <w:r>
              <w:rPr>
                <w:rFonts w:ascii="Times New Roman" w:hAnsi="Times New Roman"/>
                <w:b/>
                <w:color w:val="059669"/>
                <w:sz w:val="17"/>
              </w:rPr>
              <w:t>Passed (100%)</w:t>
            </w:r>
          </w:p>
        </w:tc>
        <w:tc>
          <w:tcPr>
            <w:tcW w:type="dxa" w:w="2549"/>
            <w:shd w:fill="ffffff"/>
            <w:tcMar>
              <w:top w:w="50" w:type="dxa"/>
              <w:bottom w:w="50" w:type="dxa"/>
              <w:left w:w="50" w:type="dxa"/>
              <w:right w:w="50" w:type="dxa"/>
            </w:tcMar>
          </w:tcPr>
          <w:p>
            <w:pPr>
              <w:spacing w:line="276" w:lineRule="auto" w:after="0"/>
            </w:pPr>
            <w:r>
              <w:rPr>
                <w:rFonts w:ascii="Times New Roman" w:hAnsi="Times New Roman"/>
                <w:sz w:val="17"/>
              </w:rPr>
              <w:t>Tests full student workspace lifecycle: provision → work → run code → test → snapshot → submit → destroy; verifies concurrency caps.</w:t>
            </w:r>
          </w:p>
        </w:tc>
      </w:tr>
      <w:tr>
        <w:tc>
          <w:tcPr>
            <w:tcW w:type="dxa" w:w="3024"/>
            <w:shd w:fill="f8fafc"/>
            <w:tcMar>
              <w:top w:w="50" w:type="dxa"/>
              <w:bottom w:w="50" w:type="dxa"/>
              <w:left w:w="50" w:type="dxa"/>
              <w:right w:w="50" w:type="dxa"/>
            </w:tcMar>
          </w:tcPr>
          <w:p>
            <w:pPr>
              <w:spacing w:line="276" w:lineRule="auto" w:after="0"/>
            </w:pPr>
            <w:r>
              <w:rPr>
                <w:rFonts w:ascii="Times New Roman" w:hAnsi="Times New Roman"/>
                <w:b/>
                <w:color w:val="1E3A8A"/>
                <w:sz w:val="17"/>
              </w:rPr>
              <w:t>src/tests/workspace-provider.test.ts</w:t>
            </w:r>
          </w:p>
        </w:tc>
        <w:tc>
          <w:tcPr>
            <w:tcW w:type="dxa" w:w="1152"/>
            <w:shd w:fill="f8fafc"/>
            <w:tcMar>
              <w:top w:w="50" w:type="dxa"/>
              <w:bottom w:w="50" w:type="dxa"/>
              <w:left w:w="50" w:type="dxa"/>
              <w:right w:w="50" w:type="dxa"/>
            </w:tcMar>
          </w:tcPr>
          <w:p>
            <w:pPr>
              <w:spacing w:line="276" w:lineRule="auto" w:after="0"/>
            </w:pPr>
            <w:r>
              <w:rPr>
                <w:rFonts w:ascii="Times New Roman" w:hAnsi="Times New Roman"/>
                <w:sz w:val="17"/>
              </w:rPr>
              <w:t>7 Tests</w:t>
            </w:r>
          </w:p>
        </w:tc>
        <w:tc>
          <w:tcPr>
            <w:tcW w:type="dxa" w:w="1008"/>
            <w:shd w:fill="f8fafc"/>
            <w:tcMar>
              <w:top w:w="50" w:type="dxa"/>
              <w:bottom w:w="50" w:type="dxa"/>
              <w:left w:w="50" w:type="dxa"/>
              <w:right w:w="50" w:type="dxa"/>
            </w:tcMar>
          </w:tcPr>
          <w:p>
            <w:pPr>
              <w:spacing w:line="276" w:lineRule="auto" w:after="0"/>
            </w:pPr>
            <w:r>
              <w:rPr>
                <w:rFonts w:ascii="Times New Roman" w:hAnsi="Times New Roman"/>
                <w:sz w:val="17"/>
              </w:rPr>
              <w:t>4435 ms</w:t>
            </w:r>
          </w:p>
        </w:tc>
        <w:tc>
          <w:tcPr>
            <w:tcW w:type="dxa" w:w="1296"/>
            <w:shd w:fill="f8fafc"/>
            <w:tcMar>
              <w:top w:w="50" w:type="dxa"/>
              <w:bottom w:w="50" w:type="dxa"/>
              <w:left w:w="50" w:type="dxa"/>
              <w:right w:w="50" w:type="dxa"/>
            </w:tcMar>
          </w:tcPr>
          <w:p>
            <w:pPr>
              <w:spacing w:line="276" w:lineRule="auto" w:after="0"/>
            </w:pPr>
            <w:r>
              <w:rPr>
                <w:rFonts w:ascii="Times New Roman" w:hAnsi="Times New Roman"/>
                <w:b/>
                <w:color w:val="059669"/>
                <w:sz w:val="17"/>
              </w:rPr>
              <w:t>Passed (100%)</w:t>
            </w:r>
          </w:p>
        </w:tc>
        <w:tc>
          <w:tcPr>
            <w:tcW w:type="dxa" w:w="2549"/>
            <w:shd w:fill="f8fafc"/>
            <w:tcMar>
              <w:top w:w="50" w:type="dxa"/>
              <w:bottom w:w="50" w:type="dxa"/>
              <w:left w:w="50" w:type="dxa"/>
              <w:right w:w="50" w:type="dxa"/>
            </w:tcMar>
          </w:tcPr>
          <w:p>
            <w:pPr>
              <w:spacing w:line="276" w:lineRule="auto" w:after="0"/>
            </w:pPr>
            <w:r>
              <w:rPr>
                <w:rFonts w:ascii="Times New Roman" w:hAnsi="Times New Roman"/>
                <w:sz w:val="17"/>
              </w:rPr>
              <w:t>Tests IsolatedSandboxProvider security: directory traversal rejection, process jailing, multi-tenant isolation, and 4000ms timeout.</w:t>
            </w:r>
          </w:p>
        </w:tc>
      </w:tr>
    </w:tbl>
    <w:p>
      <w:pPr>
        <w:spacing w:after="120"/>
      </w:pPr>
    </w:p>
    <w:p>
      <w:pPr>
        <w:keepNext/>
        <w:spacing w:before="280" w:after="100"/>
      </w:pPr>
      <w:r>
        <w:rPr>
          <w:rFonts w:ascii="Times New Roman" w:hAnsi="Times New Roman"/>
          <w:b/>
          <w:color w:val="1E3A8A"/>
          <w:sz w:val="28"/>
        </w:rPr>
        <w:t>6.4 Expected Quantitative and Qualitative Outcomes</w:t>
      </w:r>
    </w:p>
    <w:p>
      <w:pPr>
        <w:spacing w:line="360" w:lineRule="auto" w:after="120"/>
        <w:jc w:val="both"/>
      </w:pPr>
      <w:r>
        <w:rPr>
          <w:rFonts w:ascii="Times New Roman" w:hAnsi="Times New Roman"/>
          <w:sz w:val="24"/>
        </w:rPr>
        <w:t>The deployment of WORKUP targets specific quantitative and qualitative benchmarks:</w:t>
      </w:r>
    </w:p>
    <w:p>
      <w:pPr>
        <w:pStyle w:val="ListBullet"/>
        <w:spacing w:line="312" w:lineRule="auto" w:after="80"/>
        <w:jc w:val="both"/>
      </w:pPr>
      <w:r>
        <w:rPr>
          <w:rFonts w:ascii="Times New Roman" w:hAnsi="Times New Roman"/>
          <w:b/>
          <w:sz w:val="24"/>
        </w:rPr>
        <w:t xml:space="preserve">Quantitative Outcomes: </w:t>
      </w:r>
      <w:r>
        <w:rPr>
          <w:rFonts w:ascii="Times New Roman" w:hAnsi="Times New Roman"/>
          <w:sz w:val="24"/>
        </w:rPr>
        <w:t>(1) 100% automated test verification rate across the foundational platform; (2) Sub-250ms workspace command execution latency; (3) Hard 4000ms process timeout enforcement eliminating server hangs; (4) Strict concurrency bounding of 2 active workspaces per student, maintaining server resource stability.</w:t>
      </w:r>
    </w:p>
    <w:p>
      <w:pPr>
        <w:pStyle w:val="ListBullet"/>
        <w:spacing w:line="312" w:lineRule="auto" w:after="80"/>
        <w:jc w:val="both"/>
      </w:pPr>
      <w:r>
        <w:rPr>
          <w:rFonts w:ascii="Times New Roman" w:hAnsi="Times New Roman"/>
          <w:b/>
          <w:sz w:val="24"/>
        </w:rPr>
        <w:t xml:space="preserve">Qualitative Outcomes: </w:t>
      </w:r>
      <w:r>
        <w:rPr>
          <w:rFonts w:ascii="Times New Roman" w:hAnsi="Times New Roman"/>
          <w:sz w:val="24"/>
        </w:rPr>
        <w:t>(1) Elevated student architectural maturity, demonstrated by adherence to ADRs and idiomatic coding standards; (2) Enhanced student confidence when navigating pre-existing legacy codebases; (3) Creation of credible, commit-backed portfolio dossiers replacing unverifiable certificate badges.</w:t>
      </w:r>
    </w:p>
    <w:p>
      <w:pPr>
        <w:keepNext/>
        <w:spacing w:before="280" w:after="100"/>
      </w:pPr>
      <w:r>
        <w:rPr>
          <w:rFonts w:ascii="Times New Roman" w:hAnsi="Times New Roman"/>
          <w:b/>
          <w:color w:val="1E3A8A"/>
          <w:sz w:val="28"/>
        </w:rPr>
        <w:t>6.5 Risk Management, Threat Modeling, and Mitigation</w:t>
      </w:r>
    </w:p>
    <w:p>
      <w:pPr>
        <w:spacing w:line="360" w:lineRule="auto" w:after="120"/>
        <w:jc w:val="both"/>
      </w:pPr>
      <w:r>
        <w:rPr>
          <w:rFonts w:ascii="Times New Roman" w:hAnsi="Times New Roman"/>
          <w:sz w:val="24"/>
        </w:rPr>
        <w:t>To ensure system resilience, potential architectural and operational risks have been systematically classified and mitigated. Table 6.3 details the risk matrix:</w:t>
      </w:r>
    </w:p>
    <w:p>
      <w:pPr>
        <w:spacing w:before="160" w:after="40"/>
        <w:jc w:val="center"/>
      </w:pPr>
      <w:r>
        <w:rPr>
          <w:rFonts w:ascii="Times New Roman" w:hAnsi="Times New Roman"/>
          <w:b/>
          <w:i/>
          <w:color w:val="1E3A8A"/>
          <w:sz w:val="20"/>
        </w:rPr>
        <w:t>Table 6.3: Risk Matrix, Severity Classification, and Engineering Mitigation Strategies.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c>
          <w:tcPr>
            <w:tcW w:type="dxa" w:w="1296"/>
            <w:shd w:fill="1e3a8a"/>
            <w:tcMar>
              <w:top w:w="70" w:type="dxa"/>
              <w:bottom w:w="70" w:type="dxa"/>
              <w:left w:w="50" w:type="dxa"/>
              <w:right w:w="50" w:type="dxa"/>
            </w:tcMar>
          </w:tcPr>
          <w:p>
            <w:pPr>
              <w:spacing w:after="0"/>
              <w:jc w:val="center"/>
            </w:pPr>
            <w:r>
              <w:rPr>
                <w:rFonts w:ascii="Times New Roman" w:hAnsi="Times New Roman"/>
                <w:b/>
                <w:color w:val="FFFFFF"/>
                <w:sz w:val="19"/>
              </w:rPr>
              <w:t>Risk ID</w:t>
            </w:r>
          </w:p>
        </w:tc>
        <w:tc>
          <w:tcPr>
            <w:tcW w:type="dxa" w:w="2160"/>
            <w:shd w:fill="1e3a8a"/>
            <w:tcMar>
              <w:top w:w="70" w:type="dxa"/>
              <w:bottom w:w="70" w:type="dxa"/>
              <w:left w:w="50" w:type="dxa"/>
              <w:right w:w="50" w:type="dxa"/>
            </w:tcMar>
          </w:tcPr>
          <w:p>
            <w:pPr>
              <w:spacing w:after="0"/>
              <w:jc w:val="center"/>
            </w:pPr>
            <w:r>
              <w:rPr>
                <w:rFonts w:ascii="Times New Roman" w:hAnsi="Times New Roman"/>
                <w:b/>
                <w:color w:val="FFFFFF"/>
                <w:sz w:val="19"/>
              </w:rPr>
              <w:t>Threat Description</w:t>
            </w:r>
          </w:p>
        </w:tc>
        <w:tc>
          <w:tcPr>
            <w:tcW w:type="dxa" w:w="1008"/>
            <w:shd w:fill="1e3a8a"/>
            <w:tcMar>
              <w:top w:w="70" w:type="dxa"/>
              <w:bottom w:w="70" w:type="dxa"/>
              <w:left w:w="50" w:type="dxa"/>
              <w:right w:w="50" w:type="dxa"/>
            </w:tcMar>
          </w:tcPr>
          <w:p>
            <w:pPr>
              <w:spacing w:after="0"/>
              <w:jc w:val="center"/>
            </w:pPr>
            <w:r>
              <w:rPr>
                <w:rFonts w:ascii="Times New Roman" w:hAnsi="Times New Roman"/>
                <w:b/>
                <w:color w:val="FFFFFF"/>
                <w:sz w:val="19"/>
              </w:rPr>
              <w:t>Impact</w:t>
            </w:r>
          </w:p>
        </w:tc>
        <w:tc>
          <w:tcPr>
            <w:tcW w:type="dxa" w:w="1008"/>
            <w:shd w:fill="1e3a8a"/>
            <w:tcMar>
              <w:top w:w="70" w:type="dxa"/>
              <w:bottom w:w="70" w:type="dxa"/>
              <w:left w:w="50" w:type="dxa"/>
              <w:right w:w="50" w:type="dxa"/>
            </w:tcMar>
          </w:tcPr>
          <w:p>
            <w:pPr>
              <w:spacing w:after="0"/>
              <w:jc w:val="center"/>
            </w:pPr>
            <w:r>
              <w:rPr>
                <w:rFonts w:ascii="Times New Roman" w:hAnsi="Times New Roman"/>
                <w:b/>
                <w:color w:val="FFFFFF"/>
                <w:sz w:val="19"/>
              </w:rPr>
              <w:t>Likelihood</w:t>
            </w:r>
          </w:p>
        </w:tc>
        <w:tc>
          <w:tcPr>
            <w:tcW w:type="dxa" w:w="1152"/>
            <w:shd w:fill="1e3a8a"/>
            <w:tcMar>
              <w:top w:w="70" w:type="dxa"/>
              <w:bottom w:w="70" w:type="dxa"/>
              <w:left w:w="50" w:type="dxa"/>
              <w:right w:w="50" w:type="dxa"/>
            </w:tcMar>
          </w:tcPr>
          <w:p>
            <w:pPr>
              <w:spacing w:after="0"/>
              <w:jc w:val="center"/>
            </w:pPr>
            <w:r>
              <w:rPr>
                <w:rFonts w:ascii="Times New Roman" w:hAnsi="Times New Roman"/>
                <w:b/>
                <w:color w:val="FFFFFF"/>
                <w:sz w:val="19"/>
              </w:rPr>
              <w:t>Severity</w:t>
            </w:r>
          </w:p>
        </w:tc>
        <w:tc>
          <w:tcPr>
            <w:tcW w:type="dxa" w:w="2405"/>
            <w:shd w:fill="1e3a8a"/>
            <w:tcMar>
              <w:top w:w="70" w:type="dxa"/>
              <w:bottom w:w="70" w:type="dxa"/>
              <w:left w:w="50" w:type="dxa"/>
              <w:right w:w="50" w:type="dxa"/>
            </w:tcMar>
          </w:tcPr>
          <w:p>
            <w:pPr>
              <w:spacing w:after="0"/>
              <w:jc w:val="center"/>
            </w:pPr>
            <w:r>
              <w:rPr>
                <w:rFonts w:ascii="Times New Roman" w:hAnsi="Times New Roman"/>
                <w:b/>
                <w:color w:val="FFFFFF"/>
                <w:sz w:val="19"/>
              </w:rPr>
              <w:t>Engineering Mitigation Strategy</w:t>
            </w:r>
          </w:p>
        </w:tc>
      </w:tr>
      <w:tr>
        <w:tc>
          <w:tcPr>
            <w:tcW w:type="dxa" w:w="1296"/>
            <w:shd w:fill="ffffff"/>
            <w:tcMar>
              <w:top w:w="50" w:type="dxa"/>
              <w:bottom w:w="50" w:type="dxa"/>
              <w:left w:w="50" w:type="dxa"/>
              <w:right w:w="50" w:type="dxa"/>
            </w:tcMar>
          </w:tcPr>
          <w:p>
            <w:pPr>
              <w:spacing w:line="276" w:lineRule="auto" w:after="0"/>
            </w:pPr>
            <w:r>
              <w:rPr>
                <w:rFonts w:ascii="Times New Roman" w:hAnsi="Times New Roman"/>
                <w:b/>
                <w:color w:val="1E3A8A"/>
                <w:sz w:val="17"/>
              </w:rPr>
              <w:t>RISK-01</w:t>
            </w:r>
          </w:p>
        </w:tc>
        <w:tc>
          <w:tcPr>
            <w:tcW w:type="dxa" w:w="2160"/>
            <w:shd w:fill="ffffff"/>
            <w:tcMar>
              <w:top w:w="50" w:type="dxa"/>
              <w:bottom w:w="50" w:type="dxa"/>
              <w:left w:w="50" w:type="dxa"/>
              <w:right w:w="50" w:type="dxa"/>
            </w:tcMar>
          </w:tcPr>
          <w:p>
            <w:pPr>
              <w:spacing w:line="276" w:lineRule="auto" w:after="0"/>
            </w:pPr>
            <w:r>
              <w:rPr>
                <w:rFonts w:ascii="Times New Roman" w:hAnsi="Times New Roman"/>
                <w:sz w:val="17"/>
              </w:rPr>
              <w:t>Malicious Code / Sandbox Escape</w:t>
            </w:r>
          </w:p>
        </w:tc>
        <w:tc>
          <w:tcPr>
            <w:tcW w:type="dxa" w:w="1008"/>
            <w:shd w:fill="ffffff"/>
            <w:tcMar>
              <w:top w:w="50" w:type="dxa"/>
              <w:bottom w:w="50" w:type="dxa"/>
              <w:left w:w="50" w:type="dxa"/>
              <w:right w:w="50" w:type="dxa"/>
            </w:tcMar>
          </w:tcPr>
          <w:p>
            <w:pPr>
              <w:spacing w:line="276" w:lineRule="auto" w:after="0"/>
            </w:pPr>
            <w:r>
              <w:rPr>
                <w:rFonts w:ascii="Times New Roman" w:hAnsi="Times New Roman"/>
                <w:sz w:val="17"/>
              </w:rPr>
              <w:t>High</w:t>
            </w:r>
          </w:p>
        </w:tc>
        <w:tc>
          <w:tcPr>
            <w:tcW w:type="dxa" w:w="1008"/>
            <w:shd w:fill="ffffff"/>
            <w:tcMar>
              <w:top w:w="50" w:type="dxa"/>
              <w:bottom w:w="50" w:type="dxa"/>
              <w:left w:w="50" w:type="dxa"/>
              <w:right w:w="50" w:type="dxa"/>
            </w:tcMar>
          </w:tcPr>
          <w:p>
            <w:pPr>
              <w:spacing w:line="276" w:lineRule="auto" w:after="0"/>
            </w:pPr>
            <w:r>
              <w:rPr>
                <w:rFonts w:ascii="Times New Roman" w:hAnsi="Times New Roman"/>
                <w:sz w:val="17"/>
              </w:rPr>
              <w:t>High</w:t>
            </w:r>
          </w:p>
        </w:tc>
        <w:tc>
          <w:tcPr>
            <w:tcW w:type="dxa" w:w="1152"/>
            <w:shd w:fill="ffffff"/>
            <w:tcMar>
              <w:top w:w="50" w:type="dxa"/>
              <w:bottom w:w="50" w:type="dxa"/>
              <w:left w:w="50" w:type="dxa"/>
              <w:right w:w="50" w:type="dxa"/>
            </w:tcMar>
          </w:tcPr>
          <w:p>
            <w:pPr>
              <w:spacing w:line="276" w:lineRule="auto" w:after="0"/>
            </w:pPr>
            <w:r>
              <w:rPr>
                <w:rFonts w:ascii="Times New Roman" w:hAnsi="Times New Roman"/>
                <w:b/>
                <w:color w:val="DC2626"/>
                <w:sz w:val="17"/>
              </w:rPr>
              <w:t>Critical</w:t>
            </w:r>
          </w:p>
        </w:tc>
        <w:tc>
          <w:tcPr>
            <w:tcW w:type="dxa" w:w="2405"/>
            <w:shd w:fill="ffffff"/>
            <w:tcMar>
              <w:top w:w="50" w:type="dxa"/>
              <w:bottom w:w="50" w:type="dxa"/>
              <w:left w:w="50" w:type="dxa"/>
              <w:right w:w="50" w:type="dxa"/>
            </w:tcMar>
          </w:tcPr>
          <w:p>
            <w:pPr>
              <w:spacing w:line="276" w:lineRule="auto" w:after="0"/>
            </w:pPr>
            <w:r>
              <w:rPr>
                <w:rFonts w:ascii="Times New Roman" w:hAnsi="Times New Roman"/>
                <w:sz w:val="17"/>
              </w:rPr>
              <w:t>Enforce strict path validation in IsolatedSandboxProvider; reject parent traversal (..); jail execution inside .workspaces/&lt;id&gt;; transition to container isolation in Stage-II.</w:t>
            </w:r>
          </w:p>
        </w:tc>
      </w:tr>
      <w:tr>
        <w:tc>
          <w:tcPr>
            <w:tcW w:type="dxa" w:w="1296"/>
            <w:shd w:fill="f8fafc"/>
            <w:tcMar>
              <w:top w:w="50" w:type="dxa"/>
              <w:bottom w:w="50" w:type="dxa"/>
              <w:left w:w="50" w:type="dxa"/>
              <w:right w:w="50" w:type="dxa"/>
            </w:tcMar>
          </w:tcPr>
          <w:p>
            <w:pPr>
              <w:spacing w:line="276" w:lineRule="auto" w:after="0"/>
            </w:pPr>
            <w:r>
              <w:rPr>
                <w:rFonts w:ascii="Times New Roman" w:hAnsi="Times New Roman"/>
                <w:b/>
                <w:color w:val="1E3A8A"/>
                <w:sz w:val="17"/>
              </w:rPr>
              <w:t>RISK-02</w:t>
            </w:r>
          </w:p>
        </w:tc>
        <w:tc>
          <w:tcPr>
            <w:tcW w:type="dxa" w:w="2160"/>
            <w:shd w:fill="f8fafc"/>
            <w:tcMar>
              <w:top w:w="50" w:type="dxa"/>
              <w:bottom w:w="50" w:type="dxa"/>
              <w:left w:w="50" w:type="dxa"/>
              <w:right w:w="50" w:type="dxa"/>
            </w:tcMar>
          </w:tcPr>
          <w:p>
            <w:pPr>
              <w:spacing w:line="276" w:lineRule="auto" w:after="0"/>
            </w:pPr>
            <w:r>
              <w:rPr>
                <w:rFonts w:ascii="Times New Roman" w:hAnsi="Times New Roman"/>
                <w:sz w:val="17"/>
              </w:rPr>
              <w:t>Resource Exhaustion / Fork Bombs</w:t>
            </w:r>
          </w:p>
        </w:tc>
        <w:tc>
          <w:tcPr>
            <w:tcW w:type="dxa" w:w="1008"/>
            <w:shd w:fill="f8fafc"/>
            <w:tcMar>
              <w:top w:w="50" w:type="dxa"/>
              <w:bottom w:w="50" w:type="dxa"/>
              <w:left w:w="50" w:type="dxa"/>
              <w:right w:w="50" w:type="dxa"/>
            </w:tcMar>
          </w:tcPr>
          <w:p>
            <w:pPr>
              <w:spacing w:line="276" w:lineRule="auto" w:after="0"/>
            </w:pPr>
            <w:r>
              <w:rPr>
                <w:rFonts w:ascii="Times New Roman" w:hAnsi="Times New Roman"/>
                <w:sz w:val="17"/>
              </w:rPr>
              <w:t>High</w:t>
            </w:r>
          </w:p>
        </w:tc>
        <w:tc>
          <w:tcPr>
            <w:tcW w:type="dxa" w:w="1008"/>
            <w:shd w:fill="f8fafc"/>
            <w:tcMar>
              <w:top w:w="50" w:type="dxa"/>
              <w:bottom w:w="50" w:type="dxa"/>
              <w:left w:w="50" w:type="dxa"/>
              <w:right w:w="50" w:type="dxa"/>
            </w:tcMar>
          </w:tcPr>
          <w:p>
            <w:pPr>
              <w:spacing w:line="276" w:lineRule="auto" w:after="0"/>
            </w:pPr>
            <w:r>
              <w:rPr>
                <w:rFonts w:ascii="Times New Roman" w:hAnsi="Times New Roman"/>
                <w:sz w:val="17"/>
              </w:rPr>
              <w:t>Medium</w:t>
            </w:r>
          </w:p>
        </w:tc>
        <w:tc>
          <w:tcPr>
            <w:tcW w:type="dxa" w:w="1152"/>
            <w:shd w:fill="f8fafc"/>
            <w:tcMar>
              <w:top w:w="50" w:type="dxa"/>
              <w:bottom w:w="50" w:type="dxa"/>
              <w:left w:w="50" w:type="dxa"/>
              <w:right w:w="50" w:type="dxa"/>
            </w:tcMar>
          </w:tcPr>
          <w:p>
            <w:pPr>
              <w:spacing w:line="276" w:lineRule="auto" w:after="0"/>
            </w:pPr>
            <w:r>
              <w:rPr>
                <w:rFonts w:ascii="Times New Roman" w:hAnsi="Times New Roman"/>
                <w:b/>
                <w:color w:val="D97706"/>
                <w:sz w:val="17"/>
              </w:rPr>
              <w:t>High</w:t>
            </w:r>
          </w:p>
        </w:tc>
        <w:tc>
          <w:tcPr>
            <w:tcW w:type="dxa" w:w="2405"/>
            <w:shd w:fill="f8fafc"/>
            <w:tcMar>
              <w:top w:w="50" w:type="dxa"/>
              <w:bottom w:w="50" w:type="dxa"/>
              <w:left w:w="50" w:type="dxa"/>
              <w:right w:w="50" w:type="dxa"/>
            </w:tcMar>
          </w:tcPr>
          <w:p>
            <w:pPr>
              <w:spacing w:line="276" w:lineRule="auto" w:after="0"/>
            </w:pPr>
            <w:r>
              <w:rPr>
                <w:rFonts w:ascii="Times New Roman" w:hAnsi="Times New Roman"/>
                <w:sz w:val="17"/>
              </w:rPr>
              <w:t>Enforce hard 4000ms execution timeout on child processes; limit active workspaces to 2 per user; terminate idle workspaces after 30 minutes.</w:t>
            </w:r>
          </w:p>
        </w:tc>
      </w:tr>
      <w:tr>
        <w:tc>
          <w:tcPr>
            <w:tcW w:type="dxa" w:w="1296"/>
            <w:shd w:fill="ffffff"/>
            <w:tcMar>
              <w:top w:w="50" w:type="dxa"/>
              <w:bottom w:w="50" w:type="dxa"/>
              <w:left w:w="50" w:type="dxa"/>
              <w:right w:w="50" w:type="dxa"/>
            </w:tcMar>
          </w:tcPr>
          <w:p>
            <w:pPr>
              <w:spacing w:line="276" w:lineRule="auto" w:after="0"/>
            </w:pPr>
            <w:r>
              <w:rPr>
                <w:rFonts w:ascii="Times New Roman" w:hAnsi="Times New Roman"/>
                <w:b/>
                <w:color w:val="1E3A8A"/>
                <w:sz w:val="17"/>
              </w:rPr>
              <w:t>RISK-03</w:t>
            </w:r>
          </w:p>
        </w:tc>
        <w:tc>
          <w:tcPr>
            <w:tcW w:type="dxa" w:w="2160"/>
            <w:shd w:fill="ffffff"/>
            <w:tcMar>
              <w:top w:w="50" w:type="dxa"/>
              <w:bottom w:w="50" w:type="dxa"/>
              <w:left w:w="50" w:type="dxa"/>
              <w:right w:w="50" w:type="dxa"/>
            </w:tcMar>
          </w:tcPr>
          <w:p>
            <w:pPr>
              <w:spacing w:line="276" w:lineRule="auto" w:after="0"/>
            </w:pPr>
            <w:r>
              <w:rPr>
                <w:rFonts w:ascii="Times New Roman" w:hAnsi="Times New Roman"/>
                <w:sz w:val="17"/>
              </w:rPr>
              <w:t>Privilege Escalation (RBAC Bypass)</w:t>
            </w:r>
          </w:p>
        </w:tc>
        <w:tc>
          <w:tcPr>
            <w:tcW w:type="dxa" w:w="1008"/>
            <w:shd w:fill="ffffff"/>
            <w:tcMar>
              <w:top w:w="50" w:type="dxa"/>
              <w:bottom w:w="50" w:type="dxa"/>
              <w:left w:w="50" w:type="dxa"/>
              <w:right w:w="50" w:type="dxa"/>
            </w:tcMar>
          </w:tcPr>
          <w:p>
            <w:pPr>
              <w:spacing w:line="276" w:lineRule="auto" w:after="0"/>
            </w:pPr>
            <w:r>
              <w:rPr>
                <w:rFonts w:ascii="Times New Roman" w:hAnsi="Times New Roman"/>
                <w:sz w:val="17"/>
              </w:rPr>
              <w:t>High</w:t>
            </w:r>
          </w:p>
        </w:tc>
        <w:tc>
          <w:tcPr>
            <w:tcW w:type="dxa" w:w="1008"/>
            <w:shd w:fill="ffffff"/>
            <w:tcMar>
              <w:top w:w="50" w:type="dxa"/>
              <w:bottom w:w="50" w:type="dxa"/>
              <w:left w:w="50" w:type="dxa"/>
              <w:right w:w="50" w:type="dxa"/>
            </w:tcMar>
          </w:tcPr>
          <w:p>
            <w:pPr>
              <w:spacing w:line="276" w:lineRule="auto" w:after="0"/>
            </w:pPr>
            <w:r>
              <w:rPr>
                <w:rFonts w:ascii="Times New Roman" w:hAnsi="Times New Roman"/>
                <w:sz w:val="17"/>
              </w:rPr>
              <w:t>Low</w:t>
            </w:r>
          </w:p>
        </w:tc>
        <w:tc>
          <w:tcPr>
            <w:tcW w:type="dxa" w:w="1152"/>
            <w:shd w:fill="ffffff"/>
            <w:tcMar>
              <w:top w:w="50" w:type="dxa"/>
              <w:bottom w:w="50" w:type="dxa"/>
              <w:left w:w="50" w:type="dxa"/>
              <w:right w:w="50" w:type="dxa"/>
            </w:tcMar>
          </w:tcPr>
          <w:p>
            <w:pPr>
              <w:spacing w:line="276" w:lineRule="auto" w:after="0"/>
            </w:pPr>
            <w:r>
              <w:rPr>
                <w:rFonts w:ascii="Times New Roman" w:hAnsi="Times New Roman"/>
                <w:b/>
                <w:color w:val="475569"/>
                <w:sz w:val="17"/>
              </w:rPr>
              <w:t>Medium</w:t>
            </w:r>
          </w:p>
        </w:tc>
        <w:tc>
          <w:tcPr>
            <w:tcW w:type="dxa" w:w="2405"/>
            <w:shd w:fill="ffffff"/>
            <w:tcMar>
              <w:top w:w="50" w:type="dxa"/>
              <w:bottom w:w="50" w:type="dxa"/>
              <w:left w:w="50" w:type="dxa"/>
              <w:right w:w="50" w:type="dxa"/>
            </w:tcMar>
          </w:tcPr>
          <w:p>
            <w:pPr>
              <w:spacing w:line="276" w:lineRule="auto" w:after="0"/>
            </w:pPr>
            <w:r>
              <w:rPr>
                <w:rFonts w:ascii="Times New Roman" w:hAnsi="Times New Roman"/>
                <w:sz w:val="17"/>
              </w:rPr>
              <w:t>Enforce centralized RBAC matrix in src/lib/rbac.ts; validate JWT role claims on every API route handler; test authorization in Vitest.</w:t>
            </w:r>
          </w:p>
        </w:tc>
      </w:tr>
      <w:tr>
        <w:tc>
          <w:tcPr>
            <w:tcW w:type="dxa" w:w="1296"/>
            <w:shd w:fill="f8fafc"/>
            <w:tcMar>
              <w:top w:w="50" w:type="dxa"/>
              <w:bottom w:w="50" w:type="dxa"/>
              <w:left w:w="50" w:type="dxa"/>
              <w:right w:w="50" w:type="dxa"/>
            </w:tcMar>
          </w:tcPr>
          <w:p>
            <w:pPr>
              <w:spacing w:line="276" w:lineRule="auto" w:after="0"/>
            </w:pPr>
            <w:r>
              <w:rPr>
                <w:rFonts w:ascii="Times New Roman" w:hAnsi="Times New Roman"/>
                <w:b/>
                <w:color w:val="1E3A8A"/>
                <w:sz w:val="17"/>
              </w:rPr>
              <w:t>RISK-04</w:t>
            </w:r>
          </w:p>
        </w:tc>
        <w:tc>
          <w:tcPr>
            <w:tcW w:type="dxa" w:w="2160"/>
            <w:shd w:fill="f8fafc"/>
            <w:tcMar>
              <w:top w:w="50" w:type="dxa"/>
              <w:bottom w:w="50" w:type="dxa"/>
              <w:left w:w="50" w:type="dxa"/>
              <w:right w:w="50" w:type="dxa"/>
            </w:tcMar>
          </w:tcPr>
          <w:p>
            <w:pPr>
              <w:spacing w:line="276" w:lineRule="auto" w:after="0"/>
            </w:pPr>
            <w:r>
              <w:rPr>
                <w:rFonts w:ascii="Times New Roman" w:hAnsi="Times New Roman"/>
                <w:sz w:val="17"/>
              </w:rPr>
              <w:t>Database Concurrency Bottlenecks</w:t>
            </w:r>
          </w:p>
        </w:tc>
        <w:tc>
          <w:tcPr>
            <w:tcW w:type="dxa" w:w="1008"/>
            <w:shd w:fill="f8fafc"/>
            <w:tcMar>
              <w:top w:w="50" w:type="dxa"/>
              <w:bottom w:w="50" w:type="dxa"/>
              <w:left w:w="50" w:type="dxa"/>
              <w:right w:w="50" w:type="dxa"/>
            </w:tcMar>
          </w:tcPr>
          <w:p>
            <w:pPr>
              <w:spacing w:line="276" w:lineRule="auto" w:after="0"/>
            </w:pPr>
            <w:r>
              <w:rPr>
                <w:rFonts w:ascii="Times New Roman" w:hAnsi="Times New Roman"/>
                <w:sz w:val="17"/>
              </w:rPr>
              <w:t>Medium</w:t>
            </w:r>
          </w:p>
        </w:tc>
        <w:tc>
          <w:tcPr>
            <w:tcW w:type="dxa" w:w="1008"/>
            <w:shd w:fill="f8fafc"/>
            <w:tcMar>
              <w:top w:w="50" w:type="dxa"/>
              <w:bottom w:w="50" w:type="dxa"/>
              <w:left w:w="50" w:type="dxa"/>
              <w:right w:w="50" w:type="dxa"/>
            </w:tcMar>
          </w:tcPr>
          <w:p>
            <w:pPr>
              <w:spacing w:line="276" w:lineRule="auto" w:after="0"/>
            </w:pPr>
            <w:r>
              <w:rPr>
                <w:rFonts w:ascii="Times New Roman" w:hAnsi="Times New Roman"/>
                <w:sz w:val="17"/>
              </w:rPr>
              <w:t>Low</w:t>
            </w:r>
          </w:p>
        </w:tc>
        <w:tc>
          <w:tcPr>
            <w:tcW w:type="dxa" w:w="1152"/>
            <w:shd w:fill="f8fafc"/>
            <w:tcMar>
              <w:top w:w="50" w:type="dxa"/>
              <w:bottom w:w="50" w:type="dxa"/>
              <w:left w:w="50" w:type="dxa"/>
              <w:right w:w="50" w:type="dxa"/>
            </w:tcMar>
          </w:tcPr>
          <w:p>
            <w:pPr>
              <w:spacing w:line="276" w:lineRule="auto" w:after="0"/>
            </w:pPr>
            <w:r>
              <w:rPr>
                <w:rFonts w:ascii="Times New Roman" w:hAnsi="Times New Roman"/>
                <w:b/>
                <w:color w:val="475569"/>
                <w:sz w:val="17"/>
              </w:rPr>
              <w:t>Low</w:t>
            </w:r>
          </w:p>
        </w:tc>
        <w:tc>
          <w:tcPr>
            <w:tcW w:type="dxa" w:w="2405"/>
            <w:shd w:fill="f8fafc"/>
            <w:tcMar>
              <w:top w:w="50" w:type="dxa"/>
              <w:bottom w:w="50" w:type="dxa"/>
              <w:left w:w="50" w:type="dxa"/>
              <w:right w:w="50" w:type="dxa"/>
            </w:tcMar>
          </w:tcPr>
          <w:p>
            <w:pPr>
              <w:spacing w:line="276" w:lineRule="auto" w:after="0"/>
            </w:pPr>
            <w:r>
              <w:rPr>
                <w:rFonts w:ascii="Times New Roman" w:hAnsi="Times New Roman"/>
                <w:sz w:val="17"/>
              </w:rPr>
              <w:t>Prisma ORM connection pooling; SQLite WAL mode for local dev; clean migration path to AWS RDS PostgreSQL for production scaling.</w:t>
            </w:r>
          </w:p>
        </w:tc>
      </w:tr>
      <w:tr>
        <w:tc>
          <w:tcPr>
            <w:tcW w:type="dxa" w:w="1296"/>
            <w:shd w:fill="ffffff"/>
            <w:tcMar>
              <w:top w:w="50" w:type="dxa"/>
              <w:bottom w:w="50" w:type="dxa"/>
              <w:left w:w="50" w:type="dxa"/>
              <w:right w:w="50" w:type="dxa"/>
            </w:tcMar>
          </w:tcPr>
          <w:p>
            <w:pPr>
              <w:spacing w:line="276" w:lineRule="auto" w:after="0"/>
            </w:pPr>
            <w:r>
              <w:rPr>
                <w:rFonts w:ascii="Times New Roman" w:hAnsi="Times New Roman"/>
                <w:b/>
                <w:color w:val="1E3A8A"/>
                <w:sz w:val="17"/>
              </w:rPr>
              <w:t>RISK-05</w:t>
            </w:r>
          </w:p>
        </w:tc>
        <w:tc>
          <w:tcPr>
            <w:tcW w:type="dxa" w:w="2160"/>
            <w:shd w:fill="ffffff"/>
            <w:tcMar>
              <w:top w:w="50" w:type="dxa"/>
              <w:bottom w:w="50" w:type="dxa"/>
              <w:left w:w="50" w:type="dxa"/>
              <w:right w:w="50" w:type="dxa"/>
            </w:tcMar>
          </w:tcPr>
          <w:p>
            <w:pPr>
              <w:spacing w:line="276" w:lineRule="auto" w:after="0"/>
            </w:pPr>
            <w:r>
              <w:rPr>
                <w:rFonts w:ascii="Times New Roman" w:hAnsi="Times New Roman"/>
                <w:sz w:val="17"/>
              </w:rPr>
              <w:t>LLM Cost Inflation / Hallucination</w:t>
            </w:r>
          </w:p>
        </w:tc>
        <w:tc>
          <w:tcPr>
            <w:tcW w:type="dxa" w:w="1008"/>
            <w:shd w:fill="ffffff"/>
            <w:tcMar>
              <w:top w:w="50" w:type="dxa"/>
              <w:bottom w:w="50" w:type="dxa"/>
              <w:left w:w="50" w:type="dxa"/>
              <w:right w:w="50" w:type="dxa"/>
            </w:tcMar>
          </w:tcPr>
          <w:p>
            <w:pPr>
              <w:spacing w:line="276" w:lineRule="auto" w:after="0"/>
            </w:pPr>
            <w:r>
              <w:rPr>
                <w:rFonts w:ascii="Times New Roman" w:hAnsi="Times New Roman"/>
                <w:sz w:val="17"/>
              </w:rPr>
              <w:t>Medium</w:t>
            </w:r>
          </w:p>
        </w:tc>
        <w:tc>
          <w:tcPr>
            <w:tcW w:type="dxa" w:w="1008"/>
            <w:shd w:fill="ffffff"/>
            <w:tcMar>
              <w:top w:w="50" w:type="dxa"/>
              <w:bottom w:w="50" w:type="dxa"/>
              <w:left w:w="50" w:type="dxa"/>
              <w:right w:w="50" w:type="dxa"/>
            </w:tcMar>
          </w:tcPr>
          <w:p>
            <w:pPr>
              <w:spacing w:line="276" w:lineRule="auto" w:after="0"/>
            </w:pPr>
            <w:r>
              <w:rPr>
                <w:rFonts w:ascii="Times New Roman" w:hAnsi="Times New Roman"/>
                <w:sz w:val="17"/>
              </w:rPr>
              <w:t>Medium</w:t>
            </w:r>
          </w:p>
        </w:tc>
        <w:tc>
          <w:tcPr>
            <w:tcW w:type="dxa" w:w="1152"/>
            <w:shd w:fill="ffffff"/>
            <w:tcMar>
              <w:top w:w="50" w:type="dxa"/>
              <w:bottom w:w="50" w:type="dxa"/>
              <w:left w:w="50" w:type="dxa"/>
              <w:right w:w="50" w:type="dxa"/>
            </w:tcMar>
          </w:tcPr>
          <w:p>
            <w:pPr>
              <w:spacing w:line="276" w:lineRule="auto" w:after="0"/>
            </w:pPr>
            <w:r>
              <w:rPr>
                <w:rFonts w:ascii="Times New Roman" w:hAnsi="Times New Roman"/>
                <w:b/>
                <w:color w:val="475569"/>
                <w:sz w:val="17"/>
              </w:rPr>
              <w:t>Medium</w:t>
            </w:r>
          </w:p>
        </w:tc>
        <w:tc>
          <w:tcPr>
            <w:tcW w:type="dxa" w:w="2405"/>
            <w:shd w:fill="ffffff"/>
            <w:tcMar>
              <w:top w:w="50" w:type="dxa"/>
              <w:bottom w:w="50" w:type="dxa"/>
              <w:left w:w="50" w:type="dxa"/>
              <w:right w:w="50" w:type="dxa"/>
            </w:tcMar>
          </w:tcPr>
          <w:p>
            <w:pPr>
              <w:spacing w:line="276" w:lineRule="auto" w:after="0"/>
            </w:pPr>
            <w:r>
              <w:rPr>
                <w:rFonts w:ascii="Times New Roman" w:hAnsi="Times New Roman"/>
                <w:sz w:val="17"/>
              </w:rPr>
              <w:t>Enforce token budgets and prompt caching; ground AI feedback in deterministic Vitest test outputs and structured rubric criteria.</w:t>
            </w:r>
          </w:p>
        </w:tc>
      </w:tr>
    </w:tbl>
    <w:p>
      <w:pPr>
        <w:spacing w:after="120"/>
      </w:pPr>
    </w:p>
    <w:p>
      <w:pPr>
        <w:keepNext/>
        <w:spacing w:before="280" w:after="100"/>
      </w:pPr>
      <w:r>
        <w:rPr>
          <w:rFonts w:ascii="Times New Roman" w:hAnsi="Times New Roman"/>
          <w:b/>
          <w:color w:val="1E3A8A"/>
          <w:sz w:val="28"/>
        </w:rPr>
        <w:t>6.6 Current System Limitations and Technical Debt</w:t>
      </w:r>
    </w:p>
    <w:p>
      <w:pPr>
        <w:spacing w:line="360" w:lineRule="auto" w:after="120"/>
        <w:jc w:val="both"/>
      </w:pPr>
      <w:r>
        <w:rPr>
          <w:rFonts w:ascii="Times New Roman" w:hAnsi="Times New Roman"/>
          <w:sz w:val="24"/>
        </w:rPr>
        <w:t>In accordance with rigorous academic integrity, several Stage-I limitations are transparently acknowledged:</w:t>
      </w:r>
    </w:p>
    <w:p>
      <w:pPr>
        <w:pStyle w:val="ListBullet"/>
        <w:spacing w:line="312" w:lineRule="auto" w:after="80"/>
        <w:jc w:val="both"/>
      </w:pPr>
      <w:r>
        <w:rPr>
          <w:rFonts w:ascii="Times New Roman" w:hAnsi="Times New Roman"/>
          <w:b/>
          <w:sz w:val="24"/>
        </w:rPr>
        <w:t xml:space="preserve">1. Process Jailing vs. True Containers: </w:t>
      </w:r>
      <w:r>
        <w:rPr>
          <w:rFonts w:ascii="Times New Roman" w:hAnsi="Times New Roman"/>
          <w:sz w:val="24"/>
        </w:rPr>
        <w:t>The current execution engine utilizes filesystem-jailed child processes (IsolatedSandboxProvider). While highly effective for local demonstration, true multi-tenant kernel isolation requires transition to Docker/Kubernetes container pods in Stage-II.</w:t>
      </w:r>
    </w:p>
    <w:p>
      <w:pPr>
        <w:pStyle w:val="ListBullet"/>
        <w:spacing w:line="312" w:lineRule="auto" w:after="80"/>
        <w:jc w:val="both"/>
      </w:pPr>
      <w:r>
        <w:rPr>
          <w:rFonts w:ascii="Times New Roman" w:hAnsi="Times New Roman"/>
          <w:b/>
          <w:sz w:val="24"/>
        </w:rPr>
        <w:t xml:space="preserve">2. Heuristic vs. Multi-Turn AI Review: </w:t>
      </w:r>
      <w:r>
        <w:rPr>
          <w:rFonts w:ascii="Times New Roman" w:hAnsi="Times New Roman"/>
          <w:sz w:val="24"/>
        </w:rPr>
        <w:t>Stage-I evaluation implements deterministic test verification and structured rubric templates; the full multi-turn LLM AI Tech Lead code review agent is scheduled for Stage-II.</w:t>
      </w:r>
    </w:p>
    <w:p>
      <w:pPr>
        <w:pStyle w:val="ListBullet"/>
        <w:spacing w:line="312" w:lineRule="auto" w:after="80"/>
        <w:jc w:val="both"/>
      </w:pPr>
      <w:r>
        <w:rPr>
          <w:rFonts w:ascii="Times New Roman" w:hAnsi="Times New Roman"/>
          <w:b/>
          <w:sz w:val="24"/>
        </w:rPr>
        <w:t xml:space="preserve">3. Single Flagship Prototype Track: </w:t>
      </w:r>
      <w:r>
        <w:rPr>
          <w:rFonts w:ascii="Times New Roman" w:hAnsi="Times New Roman"/>
          <w:sz w:val="24"/>
        </w:rPr>
        <w:t>The seed catalog provisions the FinFlow Technologies Payment Webhook track (FF-104); the full 15-task ShopSphere MLOps track and DevOps catalog remain in content authoring backlog.</w:t>
      </w:r>
    </w:p>
    <w:p>
      <w:pPr>
        <w:keepNext/>
        <w:spacing w:before="280" w:after="100"/>
      </w:pPr>
      <w:r>
        <w:rPr>
          <w:rFonts w:ascii="Times New Roman" w:hAnsi="Times New Roman"/>
          <w:b/>
          <w:color w:val="1E3A8A"/>
          <w:sz w:val="28"/>
        </w:rPr>
        <w:t>6.7 Proposed Stage-II Enhancements</w:t>
      </w:r>
    </w:p>
    <w:p>
      <w:pPr>
        <w:spacing w:line="360" w:lineRule="auto" w:after="120"/>
        <w:jc w:val="both"/>
      </w:pPr>
      <w:r>
        <w:rPr>
          <w:rFonts w:ascii="Times New Roman" w:hAnsi="Times New Roman"/>
          <w:sz w:val="24"/>
        </w:rPr>
        <w:t>The Major Project Stage-II phase will expand upon this verified foundation by: (1) Deploying a distributed Kubernetes container runner supporting DevContainers; (2) Integrating an LLM-powered AI Tech Lead agent for automated, line-by-line pull request code reviews; (3) Implementing synthetic Grafana telemetry and production alert injection for live incident response simulations; and (4) Launching a public cryptographic verification portal serving tamper-evident Evidence-of-Skill dossiers to corporate recruiters.</w:t>
      </w:r>
    </w:p>
    <w:p>
      <w:r>
        <w:br w:type="page"/>
      </w:r>
    </w:p>
    <w:p>
      <w:pPr>
        <w:keepNext/>
        <w:spacing w:before="320" w:after="280"/>
        <w:jc w:val="center"/>
      </w:pPr>
      <w:r>
        <w:rPr>
          <w:rFonts w:ascii="Times New Roman" w:hAnsi="Times New Roman"/>
          <w:b/>
          <w:color w:val="1E3A8A"/>
          <w:sz w:val="32"/>
        </w:rPr>
        <w:t>CONCLUSION AND FUTURE WORK</w:t>
      </w:r>
    </w:p>
    <w:p>
      <w:pPr>
        <w:spacing w:line="360" w:lineRule="auto" w:after="120"/>
        <w:jc w:val="both"/>
      </w:pPr>
      <w:r>
        <w:rPr>
          <w:rFonts w:ascii="Times New Roman" w:hAnsi="Times New Roman"/>
          <w:sz w:val="24"/>
        </w:rPr>
        <w:t>This Major Project Stage-I Report has presented the research, architectural formulation, design modeling, and foundational prototype implementation of WORKUP — a Virtual Professional Experience Platform designed to bridge the chasm between theoretical computer science education and practical corporate software engineering.</w:t>
      </w:r>
    </w:p>
    <w:p>
      <w:pPr>
        <w:spacing w:line="360" w:lineRule="auto" w:after="120"/>
        <w:jc w:val="both"/>
      </w:pPr>
      <w:r>
        <w:rPr>
          <w:rFonts w:ascii="Times New Roman" w:hAnsi="Times New Roman"/>
          <w:sz w:val="24"/>
        </w:rPr>
        <w:t>Grounded in Kolb's Experiential Learning Theory and Situated Cognition, WORKUP transitions computing learners from passive lecture consumers to active practicing engineers inside simulated technology enterprises. The platform unifies the complete development lifecycle: navigating corporate team charters, interpreting business problem tickets and Architecture Decision Records (ADRs), working with legacy codebases inside isolated cloud workspaces, executing multi-tier automated test harnesses, submitting Git pull requests, and building an immutable, cryptographically verifiable Evidence-of-Skill Dossier.</w:t>
      </w:r>
    </w:p>
    <w:p>
      <w:pPr>
        <w:spacing w:line="360" w:lineRule="auto" w:after="120"/>
        <w:jc w:val="both"/>
      </w:pPr>
      <w:r>
        <w:rPr>
          <w:rFonts w:ascii="Times New Roman" w:hAnsi="Times New Roman"/>
          <w:sz w:val="24"/>
        </w:rPr>
        <w:t>During Stage-I, the core architectural foundation has been fully engineered and validated. Built on Next.js 14 (App Router), React 18, TypeScript, Tailwind CSS, and Prisma ORM with a 21-entity relational schema, the platform enforces 4-tier Role-Based Access Control, manages a Directed Acyclic Graph (DAG) task engine, and orchestrates process-isolated workspaces with strict concurrency and timeout caps. The system's robustness has been empirically proven through an automated Vitest test suite achieving a 100% pass rate across 34 tests in 8 suites.</w:t>
      </w:r>
    </w:p>
    <w:p>
      <w:pPr>
        <w:spacing w:line="360" w:lineRule="auto" w:after="120"/>
        <w:jc w:val="both"/>
      </w:pPr>
      <w:r>
        <w:rPr>
          <w:rFonts w:ascii="Times New Roman" w:hAnsi="Times New Roman"/>
          <w:sz w:val="24"/>
        </w:rPr>
        <w:t>In Major Project Stage-II, this robust foundation will be extended to incorporate distributed Kubernetes container execution, an LLM-powered AI Tech Lead PR review agent, synthetic production telemetry monitoring in Grafana, and external recruiter verification portals, establishing WORKUP as a scalable, authentic virtual workplace platform.</w:t>
      </w:r>
    </w:p>
    <w:p>
      <w:r>
        <w:br w:type="page"/>
      </w:r>
    </w:p>
    <w:p>
      <w:pPr>
        <w:keepNext/>
        <w:spacing w:before="320" w:after="280"/>
        <w:jc w:val="center"/>
      </w:pPr>
      <w:r>
        <w:rPr>
          <w:rFonts w:ascii="Times New Roman" w:hAnsi="Times New Roman"/>
          <w:b/>
          <w:color w:val="1E3A8A"/>
          <w:sz w:val="32"/>
        </w:rPr>
        <w:t>REFERENCES</w:t>
      </w:r>
    </w:p>
    <w:p>
      <w:pPr>
        <w:spacing w:line="288" w:lineRule="auto" w:after="120"/>
        <w:jc w:val="both"/>
      </w:pPr>
      <w:r>
        <w:rPr>
          <w:rFonts w:ascii="Times New Roman" w:hAnsi="Times New Roman"/>
          <w:sz w:val="20"/>
        </w:rPr>
        <w:t>[1] E. O. Navarro and A. van der Hoek, "SimSE: An Educational Simulation Game for Teaching the Software Engineering Process," in Proceedings of the 9th Annual ACM SIGCSE Conference on Innovation and Technology in Computer Science Education (ITiCSE), Leeds, UK, 2004, pp. 233–233. DOI: 10.1145/1007996.1008064.</w:t>
      </w:r>
    </w:p>
    <w:p>
      <w:pPr>
        <w:spacing w:line="288" w:lineRule="auto" w:after="120"/>
        <w:jc w:val="both"/>
      </w:pPr>
      <w:r>
        <w:rPr>
          <w:rFonts w:ascii="Times New Roman" w:hAnsi="Times New Roman"/>
          <w:sz w:val="20"/>
        </w:rPr>
        <w:t>[2] H. Sharp and P. Hall, "An Interactive Multimedia Software House Simulation for Postgraduate Computing Students," IEEE Transactions on Education, vol. 43, no. 1, pp. 85–94, Feb. 2000. DOI: 10.1109/13.825745.</w:t>
      </w:r>
    </w:p>
    <w:p>
      <w:pPr>
        <w:spacing w:line="288" w:lineRule="auto" w:after="120"/>
        <w:jc w:val="both"/>
      </w:pPr>
      <w:r>
        <w:rPr>
          <w:rFonts w:ascii="Times New Roman" w:hAnsi="Times New Roman"/>
          <w:sz w:val="20"/>
        </w:rPr>
        <w:t>[3] A. Radermacher and G. Walia, "Gaps Between Industry Expectations and the Abilities of Newly Graduated Software Engineers: A Systematic Literature Review," ACM Transactions on Computing Education (TOCE), vol. 14, no. 4, article 22, pp. 1–32, 2014. DOI: 10.1145/2660773.</w:t>
      </w:r>
    </w:p>
    <w:p>
      <w:pPr>
        <w:spacing w:line="288" w:lineRule="auto" w:after="120"/>
        <w:jc w:val="both"/>
      </w:pPr>
      <w:r>
        <w:rPr>
          <w:rFonts w:ascii="Times New Roman" w:hAnsi="Times New Roman"/>
          <w:sz w:val="20"/>
        </w:rPr>
        <w:t>[4] N. Kratzke, "About the Suitability of Lightweight Containerization for Programming Education," IEEE Transactions on Learning Technologies, vol. 11, no. 4, pp. 466–479, Oct.–Dec. 2018. DOI: 10.1109/TLT.2017.2741961.</w:t>
      </w:r>
    </w:p>
    <w:p>
      <w:pPr>
        <w:spacing w:line="288" w:lineRule="auto" w:after="120"/>
        <w:jc w:val="both"/>
      </w:pPr>
      <w:r>
        <w:rPr>
          <w:rFonts w:ascii="Times New Roman" w:hAnsi="Times New Roman"/>
          <w:sz w:val="20"/>
        </w:rPr>
        <w:t>[5] S. MacNeil, A. Tran, D. Mogil, S. Bernstein, E. Ross, and Z. Huang, "Generating Formative Code Feedback with Large Language Models," in Proceedings of the 54th ACM Technical Symposium on Computer Science Education (SIGCSE), Toronto, Canada, 2023, pp. 581–587. DOI: 10.1145/3545945.3569785.</w:t>
      </w:r>
    </w:p>
    <w:p>
      <w:pPr>
        <w:spacing w:line="288" w:lineRule="auto" w:after="120"/>
        <w:jc w:val="both"/>
      </w:pPr>
      <w:r>
        <w:rPr>
          <w:rFonts w:ascii="Times New Roman" w:hAnsi="Times New Roman"/>
          <w:sz w:val="20"/>
        </w:rPr>
        <w:t>[6] V. Garousi, G. Giray, E. Tüzün, C. Catal, and M. Felderer, "Closing the Gap Between Software Engineering Education and Industrial Needs: An Industry-Academia Collaborative Model," IEEE Transactions on Education, vol. 63, no. 2, pp. 106–115, May 2020. DOI: 10.1109/TE.2019.2943896.</w:t>
      </w:r>
    </w:p>
    <w:p>
      <w:pPr>
        <w:spacing w:line="288" w:lineRule="auto" w:after="120"/>
        <w:jc w:val="both"/>
      </w:pPr>
      <w:r>
        <w:rPr>
          <w:rFonts w:ascii="Times New Roman" w:hAnsi="Times New Roman"/>
          <w:sz w:val="20"/>
        </w:rPr>
        <w:t>[7] D. A. Kolb, Experiential Learning: Experience as the Source of Learning and Development, Englewood Cliffs, NJ: Prentice-Hall, 1984; 2nd ed., Pearson Education, 2014. ISBN: 978-0133892406.</w:t>
      </w:r>
    </w:p>
    <w:p>
      <w:pPr>
        <w:spacing w:line="288" w:lineRule="auto" w:after="120"/>
        <w:jc w:val="both"/>
      </w:pPr>
      <w:r>
        <w:rPr>
          <w:rFonts w:ascii="Times New Roman" w:hAnsi="Times New Roman"/>
          <w:sz w:val="20"/>
        </w:rPr>
        <w:t>[8] J. Lave and E. Wenger, Situated Learning: Legitimate Peripheral Participation, Cambridge, UK: Cambridge University Press, 1991. ISBN: 978-0521423748.</w:t>
      </w:r>
    </w:p>
    <w:p>
      <w:pPr>
        <w:spacing w:line="288" w:lineRule="auto" w:after="120"/>
        <w:jc w:val="both"/>
      </w:pPr>
      <w:r>
        <w:rPr>
          <w:rFonts w:ascii="Times New Roman" w:hAnsi="Times New Roman"/>
          <w:sz w:val="20"/>
        </w:rPr>
        <w:t>[9] D. Šmite, A. Baker, and P. Runeson, "Software Engineering Simulation: A Systematic Literature Review," IEEE Transactions on Software Engineering, vol. 36, no. 6, pp. 785–802, Nov.–Dec. 2010. DOI: 10.1109/TSE.2010.42.</w:t>
      </w:r>
    </w:p>
    <w:p>
      <w:pPr>
        <w:spacing w:line="288" w:lineRule="auto" w:after="120"/>
        <w:jc w:val="both"/>
      </w:pPr>
      <w:r>
        <w:rPr>
          <w:rFonts w:ascii="Times New Roman" w:hAnsi="Times New Roman"/>
          <w:sz w:val="20"/>
        </w:rPr>
        <w:t>[10] S. Frezza, M. Clear, and A. Pears, "Models of Software Engineering Education: Developing Professional Competencies," ACM Inroads, vol. 10, no. 1, pp. 24–31, 2019. DOI: 10.1145/3313110.</w:t>
      </w:r>
    </w:p>
    <w:p>
      <w:pPr>
        <w:spacing w:line="288" w:lineRule="auto" w:after="120"/>
        <w:jc w:val="both"/>
      </w:pPr>
      <w:r>
        <w:rPr>
          <w:rFonts w:ascii="Times New Roman" w:hAnsi="Times New Roman"/>
          <w:sz w:val="20"/>
        </w:rPr>
        <w:t>[11] T. Nurkkala and D. Brandle, "Software Studio: A Simulated Software Company for Capstone Projects," in Proceedings of the 42nd ACM Technical Symposium on Computer Science Education (SIGCSE), Dallas, TX, 2011, pp. 153–158. DOI: 10.1145/1953163.1953211.</w:t>
      </w:r>
    </w:p>
    <w:p>
      <w:pPr>
        <w:spacing w:line="288" w:lineRule="auto" w:after="120"/>
        <w:jc w:val="both"/>
      </w:pPr>
      <w:r>
        <w:rPr>
          <w:rFonts w:ascii="Times New Roman" w:hAnsi="Times New Roman"/>
          <w:sz w:val="20"/>
        </w:rPr>
        <w:t>[12] J. H. Maloney, M. Resnick, and N. Rusk, "The Scratch Programming Language and Environment," ACM Transactions on Computing Education (TOCE), vol. 10, no. 4, article 16, pp. 1–15, 2010. DOI: 10.1145/1868358.1868363.</w:t>
      </w:r>
    </w:p>
    <w:p>
      <w:pPr>
        <w:spacing w:line="288" w:lineRule="auto" w:after="120"/>
        <w:jc w:val="both"/>
      </w:pPr>
      <w:r>
        <w:rPr>
          <w:rFonts w:ascii="Times New Roman" w:hAnsi="Times New Roman"/>
          <w:sz w:val="20"/>
        </w:rPr>
        <w:t>[13] P. Denny, V. Kumar, and N. Giacaman, "Formative Feedback on Code Quality in Introductory Programming Courses," IEEE Transactions on Education, vol. 62, no. 4, pp. 290–298, Nov. 2019. DOI: 10.1109/TE.2019.2913162.</w:t>
      </w:r>
    </w:p>
    <w:p>
      <w:pPr>
        <w:spacing w:line="288" w:lineRule="auto" w:after="120"/>
        <w:jc w:val="both"/>
      </w:pPr>
      <w:r>
        <w:rPr>
          <w:rFonts w:ascii="Times New Roman" w:hAnsi="Times New Roman"/>
          <w:sz w:val="20"/>
        </w:rPr>
        <w:t>[14] Next.js 14 Documentation, "App Router Architecture, Server Components, and Route Handlers," Vercel Inc., 2024. [Online]. Available: https://nextjs.org/docs.</w:t>
      </w:r>
    </w:p>
    <w:p>
      <w:pPr>
        <w:spacing w:line="288" w:lineRule="auto" w:after="120"/>
        <w:jc w:val="both"/>
      </w:pPr>
      <w:r>
        <w:rPr>
          <w:rFonts w:ascii="Times New Roman" w:hAnsi="Times New Roman"/>
          <w:sz w:val="20"/>
        </w:rPr>
        <w:t>[15] Prisma ORM Documentation, "Prisma Client, Schema Reference, and Relational Migrations," Prisma Data Inc., 2024. [Online]. Available: https://www.prisma.io/docs.</w:t>
      </w:r>
    </w:p>
    <w:p>
      <w:pPr>
        <w:spacing w:line="288" w:lineRule="auto" w:after="120"/>
        <w:jc w:val="both"/>
      </w:pPr>
      <w:r>
        <w:rPr>
          <w:rFonts w:ascii="Times New Roman" w:hAnsi="Times New Roman"/>
          <w:sz w:val="20"/>
        </w:rPr>
        <w:t>[16] Vitest Documentation, "Next Generation Testing Framework with Native TypeScript Support," Vitest Team, 2024. [Online]. Available: https://vitest.dev/.</w:t>
      </w:r>
    </w:p>
    <w:p>
      <w:r>
        <w:br w:type="page"/>
      </w:r>
    </w:p>
    <w:p>
      <w:pPr>
        <w:keepNext/>
        <w:spacing w:before="320" w:after="280"/>
        <w:jc w:val="center"/>
      </w:pPr>
      <w:r>
        <w:rPr>
          <w:rFonts w:ascii="Times New Roman" w:hAnsi="Times New Roman"/>
          <w:b/>
          <w:color w:val="1E3A8A"/>
          <w:sz w:val="32"/>
        </w:rPr>
        <w:t>APPENDICES</w:t>
      </w:r>
    </w:p>
    <w:p>
      <w:pPr>
        <w:keepNext/>
        <w:spacing w:before="280" w:after="100"/>
      </w:pPr>
      <w:r>
        <w:rPr>
          <w:rFonts w:ascii="Times New Roman" w:hAnsi="Times New Roman"/>
          <w:b/>
          <w:color w:val="1E3A8A"/>
          <w:sz w:val="28"/>
        </w:rPr>
        <w:t>Appendix A: Complete Database Schema Data Dictionary</w:t>
      </w:r>
    </w:p>
    <w:p>
      <w:pPr>
        <w:spacing w:line="360" w:lineRule="auto" w:after="120"/>
        <w:jc w:val="both"/>
      </w:pPr>
      <w:r>
        <w:rPr>
          <w:rFonts w:ascii="Times New Roman" w:hAnsi="Times New Roman"/>
          <w:sz w:val="24"/>
        </w:rPr>
        <w:t>The database schema for WORKUP is defined via Prisma ORM 5.x and contains 21 normalized relational models. Table A.1 lists each entity, its primary purpose, and key relationships:</w:t>
      </w:r>
    </w:p>
    <w:p>
      <w:pPr>
        <w:spacing w:before="160" w:after="40"/>
        <w:jc w:val="center"/>
      </w:pPr>
      <w:r>
        <w:rPr>
          <w:rFonts w:ascii="Times New Roman" w:hAnsi="Times New Roman"/>
          <w:b/>
          <w:i/>
          <w:color w:val="1E3A8A"/>
          <w:sz w:val="20"/>
        </w:rPr>
        <w:t>Table A.1: Complete Database Entity Dictionary and Relationship Mapping (21 Prisma Models).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c>
          <w:tcPr>
            <w:tcW w:type="dxa" w:w="2160"/>
            <w:shd w:fill="1e3a8a"/>
            <w:tcMar>
              <w:top w:w="70" w:type="dxa"/>
              <w:bottom w:w="70" w:type="dxa"/>
              <w:left w:w="50" w:type="dxa"/>
              <w:right w:w="50" w:type="dxa"/>
            </w:tcMar>
          </w:tcPr>
          <w:p>
            <w:pPr>
              <w:spacing w:after="0"/>
              <w:jc w:val="center"/>
            </w:pPr>
            <w:r>
              <w:rPr>
                <w:rFonts w:ascii="Times New Roman" w:hAnsi="Times New Roman"/>
                <w:b/>
                <w:color w:val="FFFFFF"/>
                <w:sz w:val="19"/>
              </w:rPr>
              <w:t>Entity Model Name</w:t>
            </w:r>
          </w:p>
        </w:tc>
        <w:tc>
          <w:tcPr>
            <w:tcW w:type="dxa" w:w="3168"/>
            <w:shd w:fill="1e3a8a"/>
            <w:tcMar>
              <w:top w:w="70" w:type="dxa"/>
              <w:bottom w:w="70" w:type="dxa"/>
              <w:left w:w="50" w:type="dxa"/>
              <w:right w:w="50" w:type="dxa"/>
            </w:tcMar>
          </w:tcPr>
          <w:p>
            <w:pPr>
              <w:spacing w:after="0"/>
              <w:jc w:val="center"/>
            </w:pPr>
            <w:r>
              <w:rPr>
                <w:rFonts w:ascii="Times New Roman" w:hAnsi="Times New Roman"/>
                <w:b/>
                <w:color w:val="FFFFFF"/>
                <w:sz w:val="19"/>
              </w:rPr>
              <w:t>Domain Responsibility &amp; Attributes</w:t>
            </w:r>
          </w:p>
        </w:tc>
        <w:tc>
          <w:tcPr>
            <w:tcW w:type="dxa" w:w="3701"/>
            <w:shd w:fill="1e3a8a"/>
            <w:tcMar>
              <w:top w:w="70" w:type="dxa"/>
              <w:bottom w:w="70" w:type="dxa"/>
              <w:left w:w="50" w:type="dxa"/>
              <w:right w:w="50" w:type="dxa"/>
            </w:tcMar>
          </w:tcPr>
          <w:p>
            <w:pPr>
              <w:spacing w:after="0"/>
              <w:jc w:val="center"/>
            </w:pPr>
            <w:r>
              <w:rPr>
                <w:rFonts w:ascii="Times New Roman" w:hAnsi="Times New Roman"/>
                <w:b/>
                <w:color w:val="FFFFFF"/>
                <w:sz w:val="19"/>
              </w:rPr>
              <w:t>Relational Mapping &amp; Foreign Key Cardinality</w:t>
            </w:r>
          </w:p>
        </w:tc>
      </w:tr>
      <w:tr>
        <w:tc>
          <w:tcPr>
            <w:tcW w:type="dxa" w:w="2160"/>
            <w:shd w:fill="ffffff"/>
            <w:tcMar>
              <w:top w:w="50" w:type="dxa"/>
              <w:bottom w:w="50" w:type="dxa"/>
              <w:left w:w="50" w:type="dxa"/>
              <w:right w:w="50" w:type="dxa"/>
            </w:tcMar>
          </w:tcPr>
          <w:p>
            <w:pPr>
              <w:spacing w:line="276" w:lineRule="auto" w:after="0"/>
            </w:pPr>
            <w:r>
              <w:rPr>
                <w:rFonts w:ascii="Times New Roman" w:hAnsi="Times New Roman"/>
                <w:b/>
                <w:color w:val="1E3A8A"/>
                <w:sz w:val="17"/>
              </w:rPr>
              <w:t>User</w:t>
            </w:r>
          </w:p>
        </w:tc>
        <w:tc>
          <w:tcPr>
            <w:tcW w:type="dxa" w:w="3168"/>
            <w:shd w:fill="ffffff"/>
            <w:tcMar>
              <w:top w:w="50" w:type="dxa"/>
              <w:bottom w:w="50" w:type="dxa"/>
              <w:left w:w="50" w:type="dxa"/>
              <w:right w:w="50" w:type="dxa"/>
            </w:tcMar>
          </w:tcPr>
          <w:p>
            <w:pPr>
              <w:spacing w:line="276" w:lineRule="auto" w:after="0"/>
            </w:pPr>
            <w:r>
              <w:rPr>
                <w:rFonts w:ascii="Times New Roman" w:hAnsi="Times New Roman"/>
                <w:sz w:val="17"/>
              </w:rPr>
              <w:t>System user identity, credential hash, account status, role.</w:t>
            </w:r>
          </w:p>
        </w:tc>
        <w:tc>
          <w:tcPr>
            <w:tcW w:type="dxa" w:w="3701"/>
            <w:shd w:fill="ffffff"/>
            <w:tcMar>
              <w:top w:w="50" w:type="dxa"/>
              <w:bottom w:w="50" w:type="dxa"/>
              <w:left w:w="50" w:type="dxa"/>
              <w:right w:w="50" w:type="dxa"/>
            </w:tcMar>
          </w:tcPr>
          <w:p>
            <w:pPr>
              <w:spacing w:line="276" w:lineRule="auto" w:after="0"/>
            </w:pPr>
            <w:r>
              <w:rPr>
                <w:rFonts w:ascii="Times New Roman" w:hAnsi="Times New Roman"/>
                <w:sz w:val="17"/>
              </w:rPr>
              <w:t>1:1 with Profile; 1:N with Session, Workspace, Submission, Evaluation, AuditLog</w:t>
            </w:r>
          </w:p>
        </w:tc>
      </w:tr>
      <w:tr>
        <w:tc>
          <w:tcPr>
            <w:tcW w:type="dxa" w:w="2160"/>
            <w:shd w:fill="f8fafc"/>
            <w:tcMar>
              <w:top w:w="50" w:type="dxa"/>
              <w:bottom w:w="50" w:type="dxa"/>
              <w:left w:w="50" w:type="dxa"/>
              <w:right w:w="50" w:type="dxa"/>
            </w:tcMar>
          </w:tcPr>
          <w:p>
            <w:pPr>
              <w:spacing w:line="276" w:lineRule="auto" w:after="0"/>
            </w:pPr>
            <w:r>
              <w:rPr>
                <w:rFonts w:ascii="Times New Roman" w:hAnsi="Times New Roman"/>
                <w:b/>
                <w:color w:val="1E3A8A"/>
                <w:sz w:val="17"/>
              </w:rPr>
              <w:t>Profile</w:t>
            </w:r>
          </w:p>
        </w:tc>
        <w:tc>
          <w:tcPr>
            <w:tcW w:type="dxa" w:w="3168"/>
            <w:shd w:fill="f8fafc"/>
            <w:tcMar>
              <w:top w:w="50" w:type="dxa"/>
              <w:bottom w:w="50" w:type="dxa"/>
              <w:left w:w="50" w:type="dxa"/>
              <w:right w:w="50" w:type="dxa"/>
            </w:tcMar>
          </w:tcPr>
          <w:p>
            <w:pPr>
              <w:spacing w:line="276" w:lineRule="auto" w:after="0"/>
            </w:pPr>
            <w:r>
              <w:rPr>
                <w:rFonts w:ascii="Times New Roman" w:hAnsi="Times New Roman"/>
                <w:sz w:val="17"/>
              </w:rPr>
              <w:t>Developer bio, headline, experience level, GitHub/LinkedIn links.</w:t>
            </w:r>
          </w:p>
        </w:tc>
        <w:tc>
          <w:tcPr>
            <w:tcW w:type="dxa" w:w="3701"/>
            <w:shd w:fill="f8fafc"/>
            <w:tcMar>
              <w:top w:w="50" w:type="dxa"/>
              <w:bottom w:w="50" w:type="dxa"/>
              <w:left w:w="50" w:type="dxa"/>
              <w:right w:w="50" w:type="dxa"/>
            </w:tcMar>
          </w:tcPr>
          <w:p>
            <w:pPr>
              <w:spacing w:line="276" w:lineRule="auto" w:after="0"/>
            </w:pPr>
            <w:r>
              <w:rPr>
                <w:rFonts w:ascii="Times New Roman" w:hAnsi="Times New Roman"/>
                <w:sz w:val="17"/>
              </w:rPr>
              <w:t>1:1 with User (Foreign Key: userId)</w:t>
            </w:r>
          </w:p>
        </w:tc>
      </w:tr>
      <w:tr>
        <w:tc>
          <w:tcPr>
            <w:tcW w:type="dxa" w:w="2160"/>
            <w:shd w:fill="ffffff"/>
            <w:tcMar>
              <w:top w:w="50" w:type="dxa"/>
              <w:bottom w:w="50" w:type="dxa"/>
              <w:left w:w="50" w:type="dxa"/>
              <w:right w:w="50" w:type="dxa"/>
            </w:tcMar>
          </w:tcPr>
          <w:p>
            <w:pPr>
              <w:spacing w:line="276" w:lineRule="auto" w:after="0"/>
            </w:pPr>
            <w:r>
              <w:rPr>
                <w:rFonts w:ascii="Times New Roman" w:hAnsi="Times New Roman"/>
                <w:b/>
                <w:color w:val="1E3A8A"/>
                <w:sz w:val="17"/>
              </w:rPr>
              <w:t>Session</w:t>
            </w:r>
          </w:p>
        </w:tc>
        <w:tc>
          <w:tcPr>
            <w:tcW w:type="dxa" w:w="3168"/>
            <w:shd w:fill="ffffff"/>
            <w:tcMar>
              <w:top w:w="50" w:type="dxa"/>
              <w:bottom w:w="50" w:type="dxa"/>
              <w:left w:w="50" w:type="dxa"/>
              <w:right w:w="50" w:type="dxa"/>
            </w:tcMar>
          </w:tcPr>
          <w:p>
            <w:pPr>
              <w:spacing w:line="276" w:lineRule="auto" w:after="0"/>
            </w:pPr>
            <w:r>
              <w:rPr>
                <w:rFonts w:ascii="Times New Roman" w:hAnsi="Times New Roman"/>
                <w:sz w:val="17"/>
              </w:rPr>
              <w:t>Active authenticated JWT session tracking, token revocation.</w:t>
            </w:r>
          </w:p>
        </w:tc>
        <w:tc>
          <w:tcPr>
            <w:tcW w:type="dxa" w:w="3701"/>
            <w:shd w:fill="ffffff"/>
            <w:tcMar>
              <w:top w:w="50" w:type="dxa"/>
              <w:bottom w:w="50" w:type="dxa"/>
              <w:left w:w="50" w:type="dxa"/>
              <w:right w:w="50" w:type="dxa"/>
            </w:tcMar>
          </w:tcPr>
          <w:p>
            <w:pPr>
              <w:spacing w:line="276" w:lineRule="auto" w:after="0"/>
            </w:pPr>
            <w:r>
              <w:rPr>
                <w:rFonts w:ascii="Times New Roman" w:hAnsi="Times New Roman"/>
                <w:sz w:val="17"/>
              </w:rPr>
              <w:t>N:1 with User (Foreign Key: userId)</w:t>
            </w:r>
          </w:p>
        </w:tc>
      </w:tr>
      <w:tr>
        <w:tc>
          <w:tcPr>
            <w:tcW w:type="dxa" w:w="2160"/>
            <w:shd w:fill="f8fafc"/>
            <w:tcMar>
              <w:top w:w="50" w:type="dxa"/>
              <w:bottom w:w="50" w:type="dxa"/>
              <w:left w:w="50" w:type="dxa"/>
              <w:right w:w="50" w:type="dxa"/>
            </w:tcMar>
          </w:tcPr>
          <w:p>
            <w:pPr>
              <w:spacing w:line="276" w:lineRule="auto" w:after="0"/>
            </w:pPr>
            <w:r>
              <w:rPr>
                <w:rFonts w:ascii="Times New Roman" w:hAnsi="Times New Roman"/>
                <w:b/>
                <w:color w:val="1E3A8A"/>
                <w:sz w:val="17"/>
              </w:rPr>
              <w:t>PasswordResetToken</w:t>
            </w:r>
          </w:p>
        </w:tc>
        <w:tc>
          <w:tcPr>
            <w:tcW w:type="dxa" w:w="3168"/>
            <w:shd w:fill="f8fafc"/>
            <w:tcMar>
              <w:top w:w="50" w:type="dxa"/>
              <w:bottom w:w="50" w:type="dxa"/>
              <w:left w:w="50" w:type="dxa"/>
              <w:right w:w="50" w:type="dxa"/>
            </w:tcMar>
          </w:tcPr>
          <w:p>
            <w:pPr>
              <w:spacing w:line="276" w:lineRule="auto" w:after="0"/>
            </w:pPr>
            <w:r>
              <w:rPr>
                <w:rFonts w:ascii="Times New Roman" w:hAnsi="Times New Roman"/>
                <w:sz w:val="17"/>
              </w:rPr>
              <w:t>Secure single-use time-limited tokens for password recovery.</w:t>
            </w:r>
          </w:p>
        </w:tc>
        <w:tc>
          <w:tcPr>
            <w:tcW w:type="dxa" w:w="3701"/>
            <w:shd w:fill="f8fafc"/>
            <w:tcMar>
              <w:top w:w="50" w:type="dxa"/>
              <w:bottom w:w="50" w:type="dxa"/>
              <w:left w:w="50" w:type="dxa"/>
              <w:right w:w="50" w:type="dxa"/>
            </w:tcMar>
          </w:tcPr>
          <w:p>
            <w:pPr>
              <w:spacing w:line="276" w:lineRule="auto" w:after="0"/>
            </w:pPr>
            <w:r>
              <w:rPr>
                <w:rFonts w:ascii="Times New Roman" w:hAnsi="Times New Roman"/>
                <w:sz w:val="17"/>
              </w:rPr>
              <w:t>Standalone indexed table (Fields: email, token, expiresAt, used)</w:t>
            </w:r>
          </w:p>
        </w:tc>
      </w:tr>
      <w:tr>
        <w:tc>
          <w:tcPr>
            <w:tcW w:type="dxa" w:w="2160"/>
            <w:shd w:fill="ffffff"/>
            <w:tcMar>
              <w:top w:w="50" w:type="dxa"/>
              <w:bottom w:w="50" w:type="dxa"/>
              <w:left w:w="50" w:type="dxa"/>
              <w:right w:w="50" w:type="dxa"/>
            </w:tcMar>
          </w:tcPr>
          <w:p>
            <w:pPr>
              <w:spacing w:line="276" w:lineRule="auto" w:after="0"/>
            </w:pPr>
            <w:r>
              <w:rPr>
                <w:rFonts w:ascii="Times New Roman" w:hAnsi="Times New Roman"/>
                <w:b/>
                <w:color w:val="1E3A8A"/>
                <w:sz w:val="17"/>
              </w:rPr>
              <w:t>CareerFamily</w:t>
            </w:r>
          </w:p>
        </w:tc>
        <w:tc>
          <w:tcPr>
            <w:tcW w:type="dxa" w:w="3168"/>
            <w:shd w:fill="ffffff"/>
            <w:tcMar>
              <w:top w:w="50" w:type="dxa"/>
              <w:bottom w:w="50" w:type="dxa"/>
              <w:left w:w="50" w:type="dxa"/>
              <w:right w:w="50" w:type="dxa"/>
            </w:tcMar>
          </w:tcPr>
          <w:p>
            <w:pPr>
              <w:spacing w:line="276" w:lineRule="auto" w:after="0"/>
            </w:pPr>
            <w:r>
              <w:rPr>
                <w:rFonts w:ascii="Times New Roman" w:hAnsi="Times New Roman"/>
                <w:sz w:val="17"/>
              </w:rPr>
              <w:t>Top-level industry disciplines (e.g. Software, AI &amp; Data).</w:t>
            </w:r>
          </w:p>
        </w:tc>
        <w:tc>
          <w:tcPr>
            <w:tcW w:type="dxa" w:w="3701"/>
            <w:shd w:fill="ffffff"/>
            <w:tcMar>
              <w:top w:w="50" w:type="dxa"/>
              <w:bottom w:w="50" w:type="dxa"/>
              <w:left w:w="50" w:type="dxa"/>
              <w:right w:w="50" w:type="dxa"/>
            </w:tcMar>
          </w:tcPr>
          <w:p>
            <w:pPr>
              <w:spacing w:line="276" w:lineRule="auto" w:after="0"/>
            </w:pPr>
            <w:r>
              <w:rPr>
                <w:rFonts w:ascii="Times New Roman" w:hAnsi="Times New Roman"/>
                <w:sz w:val="17"/>
              </w:rPr>
              <w:t>1:N with Profession</w:t>
            </w:r>
          </w:p>
        </w:tc>
      </w:tr>
      <w:tr>
        <w:tc>
          <w:tcPr>
            <w:tcW w:type="dxa" w:w="2160"/>
            <w:shd w:fill="f8fafc"/>
            <w:tcMar>
              <w:top w:w="50" w:type="dxa"/>
              <w:bottom w:w="50" w:type="dxa"/>
              <w:left w:w="50" w:type="dxa"/>
              <w:right w:w="50" w:type="dxa"/>
            </w:tcMar>
          </w:tcPr>
          <w:p>
            <w:pPr>
              <w:spacing w:line="276" w:lineRule="auto" w:after="0"/>
            </w:pPr>
            <w:r>
              <w:rPr>
                <w:rFonts w:ascii="Times New Roman" w:hAnsi="Times New Roman"/>
                <w:b/>
                <w:color w:val="1E3A8A"/>
                <w:sz w:val="17"/>
              </w:rPr>
              <w:t>Profession</w:t>
            </w:r>
          </w:p>
        </w:tc>
        <w:tc>
          <w:tcPr>
            <w:tcW w:type="dxa" w:w="3168"/>
            <w:shd w:fill="f8fafc"/>
            <w:tcMar>
              <w:top w:w="50" w:type="dxa"/>
              <w:bottom w:w="50" w:type="dxa"/>
              <w:left w:w="50" w:type="dxa"/>
              <w:right w:w="50" w:type="dxa"/>
            </w:tcMar>
          </w:tcPr>
          <w:p>
            <w:pPr>
              <w:spacing w:line="276" w:lineRule="auto" w:after="0"/>
            </w:pPr>
            <w:r>
              <w:rPr>
                <w:rFonts w:ascii="Times New Roman" w:hAnsi="Times New Roman"/>
                <w:sz w:val="17"/>
              </w:rPr>
              <w:t>Specific technical professions (e.g. Software Engineering).</w:t>
            </w:r>
          </w:p>
        </w:tc>
        <w:tc>
          <w:tcPr>
            <w:tcW w:type="dxa" w:w="3701"/>
            <w:shd w:fill="f8fafc"/>
            <w:tcMar>
              <w:top w:w="50" w:type="dxa"/>
              <w:bottom w:w="50" w:type="dxa"/>
              <w:left w:w="50" w:type="dxa"/>
              <w:right w:w="50" w:type="dxa"/>
            </w:tcMar>
          </w:tcPr>
          <w:p>
            <w:pPr>
              <w:spacing w:line="276" w:lineRule="auto" w:after="0"/>
            </w:pPr>
            <w:r>
              <w:rPr>
                <w:rFonts w:ascii="Times New Roman" w:hAnsi="Times New Roman"/>
                <w:sz w:val="17"/>
              </w:rPr>
              <w:t>N:1 with CareerFamily; 1:N with Role, Task</w:t>
            </w:r>
          </w:p>
        </w:tc>
      </w:tr>
      <w:tr>
        <w:tc>
          <w:tcPr>
            <w:tcW w:type="dxa" w:w="2160"/>
            <w:shd w:fill="ffffff"/>
            <w:tcMar>
              <w:top w:w="50" w:type="dxa"/>
              <w:bottom w:w="50" w:type="dxa"/>
              <w:left w:w="50" w:type="dxa"/>
              <w:right w:w="50" w:type="dxa"/>
            </w:tcMar>
          </w:tcPr>
          <w:p>
            <w:pPr>
              <w:spacing w:line="276" w:lineRule="auto" w:after="0"/>
            </w:pPr>
            <w:r>
              <w:rPr>
                <w:rFonts w:ascii="Times New Roman" w:hAnsi="Times New Roman"/>
                <w:b/>
                <w:color w:val="1E3A8A"/>
                <w:sz w:val="17"/>
              </w:rPr>
              <w:t>Role</w:t>
            </w:r>
          </w:p>
        </w:tc>
        <w:tc>
          <w:tcPr>
            <w:tcW w:type="dxa" w:w="3168"/>
            <w:shd w:fill="ffffff"/>
            <w:tcMar>
              <w:top w:w="50" w:type="dxa"/>
              <w:bottom w:w="50" w:type="dxa"/>
              <w:left w:w="50" w:type="dxa"/>
              <w:right w:w="50" w:type="dxa"/>
            </w:tcMar>
          </w:tcPr>
          <w:p>
            <w:pPr>
              <w:spacing w:line="276" w:lineRule="auto" w:after="0"/>
            </w:pPr>
            <w:r>
              <w:rPr>
                <w:rFonts w:ascii="Times New Roman" w:hAnsi="Times New Roman"/>
                <w:sz w:val="17"/>
              </w:rPr>
              <w:t>Specific engineering job titles (e.g. Junior Backend Engineer).</w:t>
            </w:r>
          </w:p>
        </w:tc>
        <w:tc>
          <w:tcPr>
            <w:tcW w:type="dxa" w:w="3701"/>
            <w:shd w:fill="ffffff"/>
            <w:tcMar>
              <w:top w:w="50" w:type="dxa"/>
              <w:bottom w:w="50" w:type="dxa"/>
              <w:left w:w="50" w:type="dxa"/>
              <w:right w:w="50" w:type="dxa"/>
            </w:tcMar>
          </w:tcPr>
          <w:p>
            <w:pPr>
              <w:spacing w:line="276" w:lineRule="auto" w:after="0"/>
            </w:pPr>
            <w:r>
              <w:rPr>
                <w:rFonts w:ascii="Times New Roman" w:hAnsi="Times New Roman"/>
                <w:sz w:val="17"/>
              </w:rPr>
              <w:t>N:1 with Profession; 1:N with RoleSkill, Simulation, Task</w:t>
            </w:r>
          </w:p>
        </w:tc>
      </w:tr>
      <w:tr>
        <w:tc>
          <w:tcPr>
            <w:tcW w:type="dxa" w:w="2160"/>
            <w:shd w:fill="f8fafc"/>
            <w:tcMar>
              <w:top w:w="50" w:type="dxa"/>
              <w:bottom w:w="50" w:type="dxa"/>
              <w:left w:w="50" w:type="dxa"/>
              <w:right w:w="50" w:type="dxa"/>
            </w:tcMar>
          </w:tcPr>
          <w:p>
            <w:pPr>
              <w:spacing w:line="276" w:lineRule="auto" w:after="0"/>
            </w:pPr>
            <w:r>
              <w:rPr>
                <w:rFonts w:ascii="Times New Roman" w:hAnsi="Times New Roman"/>
                <w:b/>
                <w:color w:val="1E3A8A"/>
                <w:sz w:val="17"/>
              </w:rPr>
              <w:t>Skill</w:t>
            </w:r>
          </w:p>
        </w:tc>
        <w:tc>
          <w:tcPr>
            <w:tcW w:type="dxa" w:w="3168"/>
            <w:shd w:fill="f8fafc"/>
            <w:tcMar>
              <w:top w:w="50" w:type="dxa"/>
              <w:bottom w:w="50" w:type="dxa"/>
              <w:left w:w="50" w:type="dxa"/>
              <w:right w:w="50" w:type="dxa"/>
            </w:tcMar>
          </w:tcPr>
          <w:p>
            <w:pPr>
              <w:spacing w:line="276" w:lineRule="auto" w:after="0"/>
            </w:pPr>
            <w:r>
              <w:rPr>
                <w:rFonts w:ascii="Times New Roman" w:hAnsi="Times New Roman"/>
                <w:sz w:val="17"/>
              </w:rPr>
              <w:t>Normalized technical skills (e.g. Python, Docker, Vitest).</w:t>
            </w:r>
          </w:p>
        </w:tc>
        <w:tc>
          <w:tcPr>
            <w:tcW w:type="dxa" w:w="3701"/>
            <w:shd w:fill="f8fafc"/>
            <w:tcMar>
              <w:top w:w="50" w:type="dxa"/>
              <w:bottom w:w="50" w:type="dxa"/>
              <w:left w:w="50" w:type="dxa"/>
              <w:right w:w="50" w:type="dxa"/>
            </w:tcMar>
          </w:tcPr>
          <w:p>
            <w:pPr>
              <w:spacing w:line="276" w:lineRule="auto" w:after="0"/>
            </w:pPr>
            <w:r>
              <w:rPr>
                <w:rFonts w:ascii="Times New Roman" w:hAnsi="Times New Roman"/>
                <w:sz w:val="17"/>
              </w:rPr>
              <w:t>1:N with RoleSkill, TaskSkill</w:t>
            </w:r>
          </w:p>
        </w:tc>
      </w:tr>
      <w:tr>
        <w:tc>
          <w:tcPr>
            <w:tcW w:type="dxa" w:w="2160"/>
            <w:shd w:fill="ffffff"/>
            <w:tcMar>
              <w:top w:w="50" w:type="dxa"/>
              <w:bottom w:w="50" w:type="dxa"/>
              <w:left w:w="50" w:type="dxa"/>
              <w:right w:w="50" w:type="dxa"/>
            </w:tcMar>
          </w:tcPr>
          <w:p>
            <w:pPr>
              <w:spacing w:line="276" w:lineRule="auto" w:after="0"/>
            </w:pPr>
            <w:r>
              <w:rPr>
                <w:rFonts w:ascii="Times New Roman" w:hAnsi="Times New Roman"/>
                <w:b/>
                <w:color w:val="1E3A8A"/>
                <w:sz w:val="17"/>
              </w:rPr>
              <w:t>RoleSkill</w:t>
            </w:r>
          </w:p>
        </w:tc>
        <w:tc>
          <w:tcPr>
            <w:tcW w:type="dxa" w:w="3168"/>
            <w:shd w:fill="ffffff"/>
            <w:tcMar>
              <w:top w:w="50" w:type="dxa"/>
              <w:bottom w:w="50" w:type="dxa"/>
              <w:left w:w="50" w:type="dxa"/>
              <w:right w:w="50" w:type="dxa"/>
            </w:tcMar>
          </w:tcPr>
          <w:p>
            <w:pPr>
              <w:spacing w:line="276" w:lineRule="auto" w:after="0"/>
            </w:pPr>
            <w:r>
              <w:rPr>
                <w:rFonts w:ascii="Times New Roman" w:hAnsi="Times New Roman"/>
                <w:sz w:val="17"/>
              </w:rPr>
              <w:t>Associative join table mapping skills required by roles.</w:t>
            </w:r>
          </w:p>
        </w:tc>
        <w:tc>
          <w:tcPr>
            <w:tcW w:type="dxa" w:w="3701"/>
            <w:shd w:fill="ffffff"/>
            <w:tcMar>
              <w:top w:w="50" w:type="dxa"/>
              <w:bottom w:w="50" w:type="dxa"/>
              <w:left w:w="50" w:type="dxa"/>
              <w:right w:w="50" w:type="dxa"/>
            </w:tcMar>
          </w:tcPr>
          <w:p>
            <w:pPr>
              <w:spacing w:line="276" w:lineRule="auto" w:after="0"/>
            </w:pPr>
            <w:r>
              <w:rPr>
                <w:rFonts w:ascii="Times New Roman" w:hAnsi="Times New Roman"/>
                <w:sz w:val="17"/>
              </w:rPr>
              <w:t>Join table between Role (roleId) and Skill (skillId)</w:t>
            </w:r>
          </w:p>
        </w:tc>
      </w:tr>
      <w:tr>
        <w:tc>
          <w:tcPr>
            <w:tcW w:type="dxa" w:w="2160"/>
            <w:shd w:fill="f8fafc"/>
            <w:tcMar>
              <w:top w:w="50" w:type="dxa"/>
              <w:bottom w:w="50" w:type="dxa"/>
              <w:left w:w="50" w:type="dxa"/>
              <w:right w:w="50" w:type="dxa"/>
            </w:tcMar>
          </w:tcPr>
          <w:p>
            <w:pPr>
              <w:spacing w:line="276" w:lineRule="auto" w:after="0"/>
            </w:pPr>
            <w:r>
              <w:rPr>
                <w:rFonts w:ascii="Times New Roman" w:hAnsi="Times New Roman"/>
                <w:b/>
                <w:color w:val="1E3A8A"/>
                <w:sz w:val="17"/>
              </w:rPr>
              <w:t>Company</w:t>
            </w:r>
          </w:p>
        </w:tc>
        <w:tc>
          <w:tcPr>
            <w:tcW w:type="dxa" w:w="3168"/>
            <w:shd w:fill="f8fafc"/>
            <w:tcMar>
              <w:top w:w="50" w:type="dxa"/>
              <w:bottom w:w="50" w:type="dxa"/>
              <w:left w:w="50" w:type="dxa"/>
              <w:right w:w="50" w:type="dxa"/>
            </w:tcMar>
          </w:tcPr>
          <w:p>
            <w:pPr>
              <w:spacing w:line="276" w:lineRule="auto" w:after="0"/>
            </w:pPr>
            <w:r>
              <w:rPr>
                <w:rFonts w:ascii="Times New Roman" w:hAnsi="Times New Roman"/>
                <w:sz w:val="17"/>
              </w:rPr>
              <w:t>Simulated enterprise employer (FinFlow, OmniRetail).</w:t>
            </w:r>
          </w:p>
        </w:tc>
        <w:tc>
          <w:tcPr>
            <w:tcW w:type="dxa" w:w="3701"/>
            <w:shd w:fill="f8fafc"/>
            <w:tcMar>
              <w:top w:w="50" w:type="dxa"/>
              <w:bottom w:w="50" w:type="dxa"/>
              <w:left w:w="50" w:type="dxa"/>
              <w:right w:w="50" w:type="dxa"/>
            </w:tcMar>
          </w:tcPr>
          <w:p>
            <w:pPr>
              <w:spacing w:line="276" w:lineRule="auto" w:after="0"/>
            </w:pPr>
            <w:r>
              <w:rPr>
                <w:rFonts w:ascii="Times New Roman" w:hAnsi="Times New Roman"/>
                <w:sz w:val="17"/>
              </w:rPr>
              <w:t>1:N with Team, Simulation, Task</w:t>
            </w:r>
          </w:p>
        </w:tc>
      </w:tr>
      <w:tr>
        <w:tc>
          <w:tcPr>
            <w:tcW w:type="dxa" w:w="2160"/>
            <w:shd w:fill="ffffff"/>
            <w:tcMar>
              <w:top w:w="50" w:type="dxa"/>
              <w:bottom w:w="50" w:type="dxa"/>
              <w:left w:w="50" w:type="dxa"/>
              <w:right w:w="50" w:type="dxa"/>
            </w:tcMar>
          </w:tcPr>
          <w:p>
            <w:pPr>
              <w:spacing w:line="276" w:lineRule="auto" w:after="0"/>
            </w:pPr>
            <w:r>
              <w:rPr>
                <w:rFonts w:ascii="Times New Roman" w:hAnsi="Times New Roman"/>
                <w:b/>
                <w:color w:val="1E3A8A"/>
                <w:sz w:val="17"/>
              </w:rPr>
              <w:t>Team</w:t>
            </w:r>
          </w:p>
        </w:tc>
        <w:tc>
          <w:tcPr>
            <w:tcW w:type="dxa" w:w="3168"/>
            <w:shd w:fill="ffffff"/>
            <w:tcMar>
              <w:top w:w="50" w:type="dxa"/>
              <w:bottom w:w="50" w:type="dxa"/>
              <w:left w:w="50" w:type="dxa"/>
              <w:right w:w="50" w:type="dxa"/>
            </w:tcMar>
          </w:tcPr>
          <w:p>
            <w:pPr>
              <w:spacing w:line="276" w:lineRule="auto" w:after="0"/>
            </w:pPr>
            <w:r>
              <w:rPr>
                <w:rFonts w:ascii="Times New Roman" w:hAnsi="Times New Roman"/>
                <w:sz w:val="17"/>
              </w:rPr>
              <w:t>Engineering teams within companies (charter, lead, Slack).</w:t>
            </w:r>
          </w:p>
        </w:tc>
        <w:tc>
          <w:tcPr>
            <w:tcW w:type="dxa" w:w="3701"/>
            <w:shd w:fill="ffffff"/>
            <w:tcMar>
              <w:top w:w="50" w:type="dxa"/>
              <w:bottom w:w="50" w:type="dxa"/>
              <w:left w:w="50" w:type="dxa"/>
              <w:right w:w="50" w:type="dxa"/>
            </w:tcMar>
          </w:tcPr>
          <w:p>
            <w:pPr>
              <w:spacing w:line="276" w:lineRule="auto" w:after="0"/>
            </w:pPr>
            <w:r>
              <w:rPr>
                <w:rFonts w:ascii="Times New Roman" w:hAnsi="Times New Roman"/>
                <w:sz w:val="17"/>
              </w:rPr>
              <w:t>N:1 with Company; 1:N with Simulation</w:t>
            </w:r>
          </w:p>
        </w:tc>
      </w:tr>
      <w:tr>
        <w:tc>
          <w:tcPr>
            <w:tcW w:type="dxa" w:w="2160"/>
            <w:shd w:fill="f8fafc"/>
            <w:tcMar>
              <w:top w:w="50" w:type="dxa"/>
              <w:bottom w:w="50" w:type="dxa"/>
              <w:left w:w="50" w:type="dxa"/>
              <w:right w:w="50" w:type="dxa"/>
            </w:tcMar>
          </w:tcPr>
          <w:p>
            <w:pPr>
              <w:spacing w:line="276" w:lineRule="auto" w:after="0"/>
            </w:pPr>
            <w:r>
              <w:rPr>
                <w:rFonts w:ascii="Times New Roman" w:hAnsi="Times New Roman"/>
                <w:b/>
                <w:color w:val="1E3A8A"/>
                <w:sz w:val="17"/>
              </w:rPr>
              <w:t>Simulation</w:t>
            </w:r>
          </w:p>
        </w:tc>
        <w:tc>
          <w:tcPr>
            <w:tcW w:type="dxa" w:w="3168"/>
            <w:shd w:fill="f8fafc"/>
            <w:tcMar>
              <w:top w:w="50" w:type="dxa"/>
              <w:bottom w:w="50" w:type="dxa"/>
              <w:left w:w="50" w:type="dxa"/>
              <w:right w:w="50" w:type="dxa"/>
            </w:tcMar>
          </w:tcPr>
          <w:p>
            <w:pPr>
              <w:spacing w:line="276" w:lineRule="auto" w:after="0"/>
            </w:pPr>
            <w:r>
              <w:rPr>
                <w:rFonts w:ascii="Times New Roman" w:hAnsi="Times New Roman"/>
                <w:sz w:val="17"/>
              </w:rPr>
              <w:t>Business problem simulation package (scenario, difficulty).</w:t>
            </w:r>
          </w:p>
        </w:tc>
        <w:tc>
          <w:tcPr>
            <w:tcW w:type="dxa" w:w="3701"/>
            <w:shd w:fill="f8fafc"/>
            <w:tcMar>
              <w:top w:w="50" w:type="dxa"/>
              <w:bottom w:w="50" w:type="dxa"/>
              <w:left w:w="50" w:type="dxa"/>
              <w:right w:w="50" w:type="dxa"/>
            </w:tcMar>
          </w:tcPr>
          <w:p>
            <w:pPr>
              <w:spacing w:line="276" w:lineRule="auto" w:after="0"/>
            </w:pPr>
            <w:r>
              <w:rPr>
                <w:rFonts w:ascii="Times New Roman" w:hAnsi="Times New Roman"/>
                <w:sz w:val="17"/>
              </w:rPr>
              <w:t>N:1 with Role, Company, Team; 1:N with Phase, Workspace, PortfolioItem</w:t>
            </w:r>
          </w:p>
        </w:tc>
      </w:tr>
      <w:tr>
        <w:tc>
          <w:tcPr>
            <w:tcW w:type="dxa" w:w="2160"/>
            <w:shd w:fill="ffffff"/>
            <w:tcMar>
              <w:top w:w="50" w:type="dxa"/>
              <w:bottom w:w="50" w:type="dxa"/>
              <w:left w:w="50" w:type="dxa"/>
              <w:right w:w="50" w:type="dxa"/>
            </w:tcMar>
          </w:tcPr>
          <w:p>
            <w:pPr>
              <w:spacing w:line="276" w:lineRule="auto" w:after="0"/>
            </w:pPr>
            <w:r>
              <w:rPr>
                <w:rFonts w:ascii="Times New Roman" w:hAnsi="Times New Roman"/>
                <w:b/>
                <w:color w:val="1E3A8A"/>
                <w:sz w:val="17"/>
              </w:rPr>
              <w:t>Phase</w:t>
            </w:r>
          </w:p>
        </w:tc>
        <w:tc>
          <w:tcPr>
            <w:tcW w:type="dxa" w:w="3168"/>
            <w:shd w:fill="ffffff"/>
            <w:tcMar>
              <w:top w:w="50" w:type="dxa"/>
              <w:bottom w:w="50" w:type="dxa"/>
              <w:left w:w="50" w:type="dxa"/>
              <w:right w:w="50" w:type="dxa"/>
            </w:tcMar>
          </w:tcPr>
          <w:p>
            <w:pPr>
              <w:spacing w:line="276" w:lineRule="auto" w:after="0"/>
            </w:pPr>
            <w:r>
              <w:rPr>
                <w:rFonts w:ascii="Times New Roman" w:hAnsi="Times New Roman"/>
                <w:sz w:val="17"/>
              </w:rPr>
              <w:t>Sprint milestones within simulation containing ADRs.</w:t>
            </w:r>
          </w:p>
        </w:tc>
        <w:tc>
          <w:tcPr>
            <w:tcW w:type="dxa" w:w="3701"/>
            <w:shd w:fill="ffffff"/>
            <w:tcMar>
              <w:top w:w="50" w:type="dxa"/>
              <w:bottom w:w="50" w:type="dxa"/>
              <w:left w:w="50" w:type="dxa"/>
              <w:right w:w="50" w:type="dxa"/>
            </w:tcMar>
          </w:tcPr>
          <w:p>
            <w:pPr>
              <w:spacing w:line="276" w:lineRule="auto" w:after="0"/>
            </w:pPr>
            <w:r>
              <w:rPr>
                <w:rFonts w:ascii="Times New Roman" w:hAnsi="Times New Roman"/>
                <w:sz w:val="17"/>
              </w:rPr>
              <w:t>N:1 with Simulation; 1:N with Task</w:t>
            </w:r>
          </w:p>
        </w:tc>
      </w:tr>
      <w:tr>
        <w:tc>
          <w:tcPr>
            <w:tcW w:type="dxa" w:w="2160"/>
            <w:shd w:fill="f8fafc"/>
            <w:tcMar>
              <w:top w:w="50" w:type="dxa"/>
              <w:bottom w:w="50" w:type="dxa"/>
              <w:left w:w="50" w:type="dxa"/>
              <w:right w:w="50" w:type="dxa"/>
            </w:tcMar>
          </w:tcPr>
          <w:p>
            <w:pPr>
              <w:spacing w:line="276" w:lineRule="auto" w:after="0"/>
            </w:pPr>
            <w:r>
              <w:rPr>
                <w:rFonts w:ascii="Times New Roman" w:hAnsi="Times New Roman"/>
                <w:b/>
                <w:color w:val="1E3A8A"/>
                <w:sz w:val="17"/>
              </w:rPr>
              <w:t>Task</w:t>
            </w:r>
          </w:p>
        </w:tc>
        <w:tc>
          <w:tcPr>
            <w:tcW w:type="dxa" w:w="3168"/>
            <w:shd w:fill="f8fafc"/>
            <w:tcMar>
              <w:top w:w="50" w:type="dxa"/>
              <w:bottom w:w="50" w:type="dxa"/>
              <w:left w:w="50" w:type="dxa"/>
              <w:right w:w="50" w:type="dxa"/>
            </w:tcMar>
          </w:tcPr>
          <w:p>
            <w:pPr>
              <w:spacing w:line="276" w:lineRule="auto" w:after="0"/>
            </w:pPr>
            <w:r>
              <w:rPr>
                <w:rFonts w:ascii="Times New Roman" w:hAnsi="Times New Roman"/>
                <w:sz w:val="17"/>
              </w:rPr>
              <w:t>Engineering work ticket (key, type, criteria, tests, rubric).</w:t>
            </w:r>
          </w:p>
        </w:tc>
        <w:tc>
          <w:tcPr>
            <w:tcW w:type="dxa" w:w="3701"/>
            <w:shd w:fill="f8fafc"/>
            <w:tcMar>
              <w:top w:w="50" w:type="dxa"/>
              <w:bottom w:w="50" w:type="dxa"/>
              <w:left w:w="50" w:type="dxa"/>
              <w:right w:w="50" w:type="dxa"/>
            </w:tcMar>
          </w:tcPr>
          <w:p>
            <w:pPr>
              <w:spacing w:line="276" w:lineRule="auto" w:after="0"/>
            </w:pPr>
            <w:r>
              <w:rPr>
                <w:rFonts w:ascii="Times New Roman" w:hAnsi="Times New Roman"/>
                <w:sz w:val="17"/>
              </w:rPr>
              <w:t>N:1 with Phase; 1:N with TaskSkill, TaskDependency, Workspace, Submission</w:t>
            </w:r>
          </w:p>
        </w:tc>
      </w:tr>
      <w:tr>
        <w:tc>
          <w:tcPr>
            <w:tcW w:type="dxa" w:w="2160"/>
            <w:shd w:fill="ffffff"/>
            <w:tcMar>
              <w:top w:w="50" w:type="dxa"/>
              <w:bottom w:w="50" w:type="dxa"/>
              <w:left w:w="50" w:type="dxa"/>
              <w:right w:w="50" w:type="dxa"/>
            </w:tcMar>
          </w:tcPr>
          <w:p>
            <w:pPr>
              <w:spacing w:line="276" w:lineRule="auto" w:after="0"/>
            </w:pPr>
            <w:r>
              <w:rPr>
                <w:rFonts w:ascii="Times New Roman" w:hAnsi="Times New Roman"/>
                <w:b/>
                <w:color w:val="1E3A8A"/>
                <w:sz w:val="17"/>
              </w:rPr>
              <w:t>TaskSkill</w:t>
            </w:r>
          </w:p>
        </w:tc>
        <w:tc>
          <w:tcPr>
            <w:tcW w:type="dxa" w:w="3168"/>
            <w:shd w:fill="ffffff"/>
            <w:tcMar>
              <w:top w:w="50" w:type="dxa"/>
              <w:bottom w:w="50" w:type="dxa"/>
              <w:left w:w="50" w:type="dxa"/>
              <w:right w:w="50" w:type="dxa"/>
            </w:tcMar>
          </w:tcPr>
          <w:p>
            <w:pPr>
              <w:spacing w:line="276" w:lineRule="auto" w:after="0"/>
            </w:pPr>
            <w:r>
              <w:rPr>
                <w:rFonts w:ascii="Times New Roman" w:hAnsi="Times New Roman"/>
                <w:sz w:val="17"/>
              </w:rPr>
              <w:t>Associative join table mapping skills exercised by tasks.</w:t>
            </w:r>
          </w:p>
        </w:tc>
        <w:tc>
          <w:tcPr>
            <w:tcW w:type="dxa" w:w="3701"/>
            <w:shd w:fill="ffffff"/>
            <w:tcMar>
              <w:top w:w="50" w:type="dxa"/>
              <w:bottom w:w="50" w:type="dxa"/>
              <w:left w:w="50" w:type="dxa"/>
              <w:right w:w="50" w:type="dxa"/>
            </w:tcMar>
          </w:tcPr>
          <w:p>
            <w:pPr>
              <w:spacing w:line="276" w:lineRule="auto" w:after="0"/>
            </w:pPr>
            <w:r>
              <w:rPr>
                <w:rFonts w:ascii="Times New Roman" w:hAnsi="Times New Roman"/>
                <w:sz w:val="17"/>
              </w:rPr>
              <w:t>Join table between Task (taskId) and Skill (skillId)</w:t>
            </w:r>
          </w:p>
        </w:tc>
      </w:tr>
      <w:tr>
        <w:tc>
          <w:tcPr>
            <w:tcW w:type="dxa" w:w="2160"/>
            <w:shd w:fill="f8fafc"/>
            <w:tcMar>
              <w:top w:w="50" w:type="dxa"/>
              <w:bottom w:w="50" w:type="dxa"/>
              <w:left w:w="50" w:type="dxa"/>
              <w:right w:w="50" w:type="dxa"/>
            </w:tcMar>
          </w:tcPr>
          <w:p>
            <w:pPr>
              <w:spacing w:line="276" w:lineRule="auto" w:after="0"/>
            </w:pPr>
            <w:r>
              <w:rPr>
                <w:rFonts w:ascii="Times New Roman" w:hAnsi="Times New Roman"/>
                <w:b/>
                <w:color w:val="1E3A8A"/>
                <w:sz w:val="17"/>
              </w:rPr>
              <w:t>TaskDependency</w:t>
            </w:r>
          </w:p>
        </w:tc>
        <w:tc>
          <w:tcPr>
            <w:tcW w:type="dxa" w:w="3168"/>
            <w:shd w:fill="f8fafc"/>
            <w:tcMar>
              <w:top w:w="50" w:type="dxa"/>
              <w:bottom w:w="50" w:type="dxa"/>
              <w:left w:w="50" w:type="dxa"/>
              <w:right w:w="50" w:type="dxa"/>
            </w:tcMar>
          </w:tcPr>
          <w:p>
            <w:pPr>
              <w:spacing w:line="276" w:lineRule="auto" w:after="0"/>
            </w:pPr>
            <w:r>
              <w:rPr>
                <w:rFonts w:ascii="Times New Roman" w:hAnsi="Times New Roman"/>
                <w:sz w:val="17"/>
              </w:rPr>
              <w:t>DAG engine enforcing task prerequisite/unlock rules.</w:t>
            </w:r>
          </w:p>
        </w:tc>
        <w:tc>
          <w:tcPr>
            <w:tcW w:type="dxa" w:w="3701"/>
            <w:shd w:fill="f8fafc"/>
            <w:tcMar>
              <w:top w:w="50" w:type="dxa"/>
              <w:bottom w:w="50" w:type="dxa"/>
              <w:left w:w="50" w:type="dxa"/>
              <w:right w:w="50" w:type="dxa"/>
            </w:tcMar>
          </w:tcPr>
          <w:p>
            <w:pPr>
              <w:spacing w:line="276" w:lineRule="auto" w:after="0"/>
            </w:pPr>
            <w:r>
              <w:rPr>
                <w:rFonts w:ascii="Times New Roman" w:hAnsi="Times New Roman"/>
                <w:sz w:val="17"/>
              </w:rPr>
              <w:t>Self-referencing join table on Task (taskId, dependsOnTaskId)</w:t>
            </w:r>
          </w:p>
        </w:tc>
      </w:tr>
      <w:tr>
        <w:tc>
          <w:tcPr>
            <w:tcW w:type="dxa" w:w="2160"/>
            <w:shd w:fill="ffffff"/>
            <w:tcMar>
              <w:top w:w="50" w:type="dxa"/>
              <w:bottom w:w="50" w:type="dxa"/>
              <w:left w:w="50" w:type="dxa"/>
              <w:right w:w="50" w:type="dxa"/>
            </w:tcMar>
          </w:tcPr>
          <w:p>
            <w:pPr>
              <w:spacing w:line="276" w:lineRule="auto" w:after="0"/>
            </w:pPr>
            <w:r>
              <w:rPr>
                <w:rFonts w:ascii="Times New Roman" w:hAnsi="Times New Roman"/>
                <w:b/>
                <w:color w:val="1E3A8A"/>
                <w:sz w:val="17"/>
              </w:rPr>
              <w:t>Workspace</w:t>
            </w:r>
          </w:p>
        </w:tc>
        <w:tc>
          <w:tcPr>
            <w:tcW w:type="dxa" w:w="3168"/>
            <w:shd w:fill="ffffff"/>
            <w:tcMar>
              <w:top w:w="50" w:type="dxa"/>
              <w:bottom w:w="50" w:type="dxa"/>
              <w:left w:w="50" w:type="dxa"/>
              <w:right w:w="50" w:type="dxa"/>
            </w:tcMar>
          </w:tcPr>
          <w:p>
            <w:pPr>
              <w:spacing w:line="276" w:lineRule="auto" w:after="0"/>
            </w:pPr>
            <w:r>
              <w:rPr>
                <w:rFonts w:ascii="Times New Roman" w:hAnsi="Times New Roman"/>
                <w:sz w:val="17"/>
              </w:rPr>
              <w:t>Cloud container lifecycle, status, resource quotas, ports.</w:t>
            </w:r>
          </w:p>
        </w:tc>
        <w:tc>
          <w:tcPr>
            <w:tcW w:type="dxa" w:w="3701"/>
            <w:shd w:fill="ffffff"/>
            <w:tcMar>
              <w:top w:w="50" w:type="dxa"/>
              <w:bottom w:w="50" w:type="dxa"/>
              <w:left w:w="50" w:type="dxa"/>
              <w:right w:w="50" w:type="dxa"/>
            </w:tcMar>
          </w:tcPr>
          <w:p>
            <w:pPr>
              <w:spacing w:line="276" w:lineRule="auto" w:after="0"/>
            </w:pPr>
            <w:r>
              <w:rPr>
                <w:rFonts w:ascii="Times New Roman" w:hAnsi="Times New Roman"/>
                <w:sz w:val="17"/>
              </w:rPr>
              <w:t>N:1 with User, Simulation, Task</w:t>
            </w:r>
          </w:p>
        </w:tc>
      </w:tr>
      <w:tr>
        <w:tc>
          <w:tcPr>
            <w:tcW w:type="dxa" w:w="2160"/>
            <w:shd w:fill="f8fafc"/>
            <w:tcMar>
              <w:top w:w="50" w:type="dxa"/>
              <w:bottom w:w="50" w:type="dxa"/>
              <w:left w:w="50" w:type="dxa"/>
              <w:right w:w="50" w:type="dxa"/>
            </w:tcMar>
          </w:tcPr>
          <w:p>
            <w:pPr>
              <w:spacing w:line="276" w:lineRule="auto" w:after="0"/>
            </w:pPr>
            <w:r>
              <w:rPr>
                <w:rFonts w:ascii="Times New Roman" w:hAnsi="Times New Roman"/>
                <w:b/>
                <w:color w:val="1E3A8A"/>
                <w:sz w:val="17"/>
              </w:rPr>
              <w:t>Submission</w:t>
            </w:r>
          </w:p>
        </w:tc>
        <w:tc>
          <w:tcPr>
            <w:tcW w:type="dxa" w:w="3168"/>
            <w:shd w:fill="f8fafc"/>
            <w:tcMar>
              <w:top w:w="50" w:type="dxa"/>
              <w:bottom w:w="50" w:type="dxa"/>
              <w:left w:w="50" w:type="dxa"/>
              <w:right w:w="50" w:type="dxa"/>
            </w:tcMar>
          </w:tcPr>
          <w:p>
            <w:pPr>
              <w:spacing w:line="276" w:lineRule="auto" w:after="0"/>
            </w:pPr>
            <w:r>
              <w:rPr>
                <w:rFonts w:ascii="Times New Roman" w:hAnsi="Times New Roman"/>
                <w:sz w:val="17"/>
              </w:rPr>
              <w:t>Student Git PR record, branch, commit SHA, unified diff.</w:t>
            </w:r>
          </w:p>
        </w:tc>
        <w:tc>
          <w:tcPr>
            <w:tcW w:type="dxa" w:w="3701"/>
            <w:shd w:fill="f8fafc"/>
            <w:tcMar>
              <w:top w:w="50" w:type="dxa"/>
              <w:bottom w:w="50" w:type="dxa"/>
              <w:left w:w="50" w:type="dxa"/>
              <w:right w:w="50" w:type="dxa"/>
            </w:tcMar>
          </w:tcPr>
          <w:p>
            <w:pPr>
              <w:spacing w:line="276" w:lineRule="auto" w:after="0"/>
            </w:pPr>
            <w:r>
              <w:rPr>
                <w:rFonts w:ascii="Times New Roman" w:hAnsi="Times New Roman"/>
                <w:sz w:val="17"/>
              </w:rPr>
              <w:t>N:1 with Task, User; 1:1 with Evaluation</w:t>
            </w:r>
          </w:p>
        </w:tc>
      </w:tr>
      <w:tr>
        <w:tc>
          <w:tcPr>
            <w:tcW w:type="dxa" w:w="2160"/>
            <w:shd w:fill="ffffff"/>
            <w:tcMar>
              <w:top w:w="50" w:type="dxa"/>
              <w:bottom w:w="50" w:type="dxa"/>
              <w:left w:w="50" w:type="dxa"/>
              <w:right w:w="50" w:type="dxa"/>
            </w:tcMar>
          </w:tcPr>
          <w:p>
            <w:pPr>
              <w:spacing w:line="276" w:lineRule="auto" w:after="0"/>
            </w:pPr>
            <w:r>
              <w:rPr>
                <w:rFonts w:ascii="Times New Roman" w:hAnsi="Times New Roman"/>
                <w:b/>
                <w:color w:val="1E3A8A"/>
                <w:sz w:val="17"/>
              </w:rPr>
              <w:t>Evaluation</w:t>
            </w:r>
          </w:p>
        </w:tc>
        <w:tc>
          <w:tcPr>
            <w:tcW w:type="dxa" w:w="3168"/>
            <w:shd w:fill="ffffff"/>
            <w:tcMar>
              <w:top w:w="50" w:type="dxa"/>
              <w:bottom w:w="50" w:type="dxa"/>
              <w:left w:w="50" w:type="dxa"/>
              <w:right w:w="50" w:type="dxa"/>
            </w:tcMar>
          </w:tcPr>
          <w:p>
            <w:pPr>
              <w:spacing w:line="276" w:lineRule="auto" w:after="0"/>
            </w:pPr>
            <w:r>
              <w:rPr>
                <w:rFonts w:ascii="Times New Roman" w:hAnsi="Times New Roman"/>
                <w:sz w:val="17"/>
              </w:rPr>
              <w:t>Automated AI / human reviewer rubric score, feedback.</w:t>
            </w:r>
          </w:p>
        </w:tc>
        <w:tc>
          <w:tcPr>
            <w:tcW w:type="dxa" w:w="3701"/>
            <w:shd w:fill="ffffff"/>
            <w:tcMar>
              <w:top w:w="50" w:type="dxa"/>
              <w:bottom w:w="50" w:type="dxa"/>
              <w:left w:w="50" w:type="dxa"/>
              <w:right w:w="50" w:type="dxa"/>
            </w:tcMar>
          </w:tcPr>
          <w:p>
            <w:pPr>
              <w:spacing w:line="276" w:lineRule="auto" w:after="0"/>
            </w:pPr>
            <w:r>
              <w:rPr>
                <w:rFonts w:ascii="Times New Roman" w:hAnsi="Times New Roman"/>
                <w:sz w:val="17"/>
              </w:rPr>
              <w:t>1:1 with Submission (Foreign Key: submissionId)</w:t>
            </w:r>
          </w:p>
        </w:tc>
      </w:tr>
      <w:tr>
        <w:tc>
          <w:tcPr>
            <w:tcW w:type="dxa" w:w="2160"/>
            <w:shd w:fill="f8fafc"/>
            <w:tcMar>
              <w:top w:w="50" w:type="dxa"/>
              <w:bottom w:w="50" w:type="dxa"/>
              <w:left w:w="50" w:type="dxa"/>
              <w:right w:w="50" w:type="dxa"/>
            </w:tcMar>
          </w:tcPr>
          <w:p>
            <w:pPr>
              <w:spacing w:line="276" w:lineRule="auto" w:after="0"/>
            </w:pPr>
            <w:r>
              <w:rPr>
                <w:rFonts w:ascii="Times New Roman" w:hAnsi="Times New Roman"/>
                <w:b/>
                <w:color w:val="1E3A8A"/>
                <w:sz w:val="17"/>
              </w:rPr>
              <w:t>PortfolioItem</w:t>
            </w:r>
          </w:p>
        </w:tc>
        <w:tc>
          <w:tcPr>
            <w:tcW w:type="dxa" w:w="3168"/>
            <w:shd w:fill="f8fafc"/>
            <w:tcMar>
              <w:top w:w="50" w:type="dxa"/>
              <w:bottom w:w="50" w:type="dxa"/>
              <w:left w:w="50" w:type="dxa"/>
              <w:right w:w="50" w:type="dxa"/>
            </w:tcMar>
          </w:tcPr>
          <w:p>
            <w:pPr>
              <w:spacing w:line="276" w:lineRule="auto" w:after="0"/>
            </w:pPr>
            <w:r>
              <w:rPr>
                <w:rFonts w:ascii="Times New Roman" w:hAnsi="Times New Roman"/>
                <w:sz w:val="17"/>
              </w:rPr>
              <w:t>Verified Evidence-of-Skill dossier with commit audit trail.</w:t>
            </w:r>
          </w:p>
        </w:tc>
        <w:tc>
          <w:tcPr>
            <w:tcW w:type="dxa" w:w="3701"/>
            <w:shd w:fill="f8fafc"/>
            <w:tcMar>
              <w:top w:w="50" w:type="dxa"/>
              <w:bottom w:w="50" w:type="dxa"/>
              <w:left w:w="50" w:type="dxa"/>
              <w:right w:w="50" w:type="dxa"/>
            </w:tcMar>
          </w:tcPr>
          <w:p>
            <w:pPr>
              <w:spacing w:line="276" w:lineRule="auto" w:after="0"/>
            </w:pPr>
            <w:r>
              <w:rPr>
                <w:rFonts w:ascii="Times New Roman" w:hAnsi="Times New Roman"/>
                <w:sz w:val="17"/>
              </w:rPr>
              <w:t>N:1 with User, Simulation</w:t>
            </w:r>
          </w:p>
        </w:tc>
      </w:tr>
      <w:tr>
        <w:tc>
          <w:tcPr>
            <w:tcW w:type="dxa" w:w="2160"/>
            <w:shd w:fill="ffffff"/>
            <w:tcMar>
              <w:top w:w="50" w:type="dxa"/>
              <w:bottom w:w="50" w:type="dxa"/>
              <w:left w:w="50" w:type="dxa"/>
              <w:right w:w="50" w:type="dxa"/>
            </w:tcMar>
          </w:tcPr>
          <w:p>
            <w:pPr>
              <w:spacing w:line="276" w:lineRule="auto" w:after="0"/>
            </w:pPr>
            <w:r>
              <w:rPr>
                <w:rFonts w:ascii="Times New Roman" w:hAnsi="Times New Roman"/>
                <w:b/>
                <w:color w:val="1E3A8A"/>
                <w:sz w:val="17"/>
              </w:rPr>
              <w:t>AuditLog</w:t>
            </w:r>
          </w:p>
        </w:tc>
        <w:tc>
          <w:tcPr>
            <w:tcW w:type="dxa" w:w="3168"/>
            <w:shd w:fill="ffffff"/>
            <w:tcMar>
              <w:top w:w="50" w:type="dxa"/>
              <w:bottom w:w="50" w:type="dxa"/>
              <w:left w:w="50" w:type="dxa"/>
              <w:right w:w="50" w:type="dxa"/>
            </w:tcMar>
          </w:tcPr>
          <w:p>
            <w:pPr>
              <w:spacing w:line="276" w:lineRule="auto" w:after="0"/>
            </w:pPr>
            <w:r>
              <w:rPr>
                <w:rFonts w:ascii="Times New Roman" w:hAnsi="Times New Roman"/>
                <w:sz w:val="17"/>
              </w:rPr>
              <w:t>Immutable append-only audit trail recording user actions.</w:t>
            </w:r>
          </w:p>
        </w:tc>
        <w:tc>
          <w:tcPr>
            <w:tcW w:type="dxa" w:w="3701"/>
            <w:shd w:fill="ffffff"/>
            <w:tcMar>
              <w:top w:w="50" w:type="dxa"/>
              <w:bottom w:w="50" w:type="dxa"/>
              <w:left w:w="50" w:type="dxa"/>
              <w:right w:w="50" w:type="dxa"/>
            </w:tcMar>
          </w:tcPr>
          <w:p>
            <w:pPr>
              <w:spacing w:line="276" w:lineRule="auto" w:after="0"/>
            </w:pPr>
            <w:r>
              <w:rPr>
                <w:rFonts w:ascii="Times New Roman" w:hAnsi="Times New Roman"/>
                <w:sz w:val="17"/>
              </w:rPr>
              <w:t>N:1 with User (Fields: action, entityType, entityId, metadata, ipAddress)</w:t>
            </w:r>
          </w:p>
        </w:tc>
      </w:tr>
    </w:tbl>
    <w:p>
      <w:pPr>
        <w:spacing w:after="120"/>
      </w:pPr>
    </w:p>
    <w:p>
      <w:pPr>
        <w:keepNext/>
        <w:spacing w:before="280" w:after="100"/>
      </w:pPr>
      <w:r>
        <w:rPr>
          <w:rFonts w:ascii="Times New Roman" w:hAnsi="Times New Roman"/>
          <w:b/>
          <w:color w:val="1E3A8A"/>
          <w:sz w:val="28"/>
        </w:rPr>
        <w:t>Appendix B: Core RESTful API Endpoint Specifications</w:t>
      </w:r>
    </w:p>
    <w:p>
      <w:pPr>
        <w:spacing w:line="360" w:lineRule="auto" w:after="120"/>
        <w:jc w:val="both"/>
      </w:pPr>
      <w:r>
        <w:rPr>
          <w:rFonts w:ascii="Times New Roman" w:hAnsi="Times New Roman"/>
          <w:sz w:val="24"/>
        </w:rPr>
        <w:t>The WORKUP backend is exposed via typed Next.js Route Handlers. Key endpoints include:</w:t>
      </w:r>
    </w:p>
    <w:p>
      <w:pPr>
        <w:pStyle w:val="ListBullet"/>
        <w:spacing w:line="312" w:lineRule="auto" w:after="80"/>
        <w:jc w:val="both"/>
      </w:pPr>
      <w:r>
        <w:rPr>
          <w:rFonts w:ascii="Times New Roman" w:hAnsi="Times New Roman"/>
          <w:b/>
          <w:sz w:val="24"/>
        </w:rPr>
        <w:t xml:space="preserve">POST /api/auth/register: </w:t>
      </w:r>
      <w:r>
        <w:rPr>
          <w:rFonts w:ascii="Times New Roman" w:hAnsi="Times New Roman"/>
          <w:sz w:val="24"/>
        </w:rPr>
        <w:t>Registers new users with role selection; hashes passwords via bcryptjs.</w:t>
      </w:r>
    </w:p>
    <w:p>
      <w:pPr>
        <w:pStyle w:val="ListBullet"/>
        <w:spacing w:line="312" w:lineRule="auto" w:after="80"/>
        <w:jc w:val="both"/>
      </w:pPr>
      <w:r>
        <w:rPr>
          <w:rFonts w:ascii="Times New Roman" w:hAnsi="Times New Roman"/>
          <w:b/>
          <w:sz w:val="24"/>
        </w:rPr>
        <w:t xml:space="preserve">POST /api/auth/login: </w:t>
      </w:r>
      <w:r>
        <w:rPr>
          <w:rFonts w:ascii="Times New Roman" w:hAnsi="Times New Roman"/>
          <w:sz w:val="24"/>
        </w:rPr>
        <w:t>Authenticates credentials; sets HTTP-only secure JWT cookie; returns User profile.</w:t>
      </w:r>
    </w:p>
    <w:p>
      <w:pPr>
        <w:pStyle w:val="ListBullet"/>
        <w:spacing w:line="312" w:lineRule="auto" w:after="80"/>
        <w:jc w:val="both"/>
      </w:pPr>
      <w:r>
        <w:rPr>
          <w:rFonts w:ascii="Times New Roman" w:hAnsi="Times New Roman"/>
          <w:b/>
          <w:sz w:val="24"/>
        </w:rPr>
        <w:t xml:space="preserve">GET /api/professions: </w:t>
      </w:r>
      <w:r>
        <w:rPr>
          <w:rFonts w:ascii="Times New Roman" w:hAnsi="Times New Roman"/>
          <w:sz w:val="24"/>
        </w:rPr>
        <w:t>Returns public/student catalog of professions, roles, and skills.</w:t>
      </w:r>
    </w:p>
    <w:p>
      <w:pPr>
        <w:pStyle w:val="ListBullet"/>
        <w:spacing w:line="312" w:lineRule="auto" w:after="80"/>
        <w:jc w:val="both"/>
      </w:pPr>
      <w:r>
        <w:rPr>
          <w:rFonts w:ascii="Times New Roman" w:hAnsi="Times New Roman"/>
          <w:b/>
          <w:sz w:val="24"/>
        </w:rPr>
        <w:t xml:space="preserve">GET /api/simulations/[slug]: </w:t>
      </w:r>
      <w:r>
        <w:rPr>
          <w:rFonts w:ascii="Times New Roman" w:hAnsi="Times New Roman"/>
          <w:sz w:val="24"/>
        </w:rPr>
        <w:t>Retrieves comprehensive simulation scenario, team topology, ADR, and task backlog.</w:t>
      </w:r>
    </w:p>
    <w:p>
      <w:pPr>
        <w:pStyle w:val="ListBullet"/>
        <w:spacing w:line="312" w:lineRule="auto" w:after="80"/>
        <w:jc w:val="both"/>
      </w:pPr>
      <w:r>
        <w:rPr>
          <w:rFonts w:ascii="Times New Roman" w:hAnsi="Times New Roman"/>
          <w:b/>
          <w:sz w:val="24"/>
        </w:rPr>
        <w:t xml:space="preserve">POST /api/workspaces: </w:t>
      </w:r>
      <w:r>
        <w:rPr>
          <w:rFonts w:ascii="Times New Roman" w:hAnsi="Times New Roman"/>
          <w:sz w:val="24"/>
        </w:rPr>
        <w:t>Allocates an isolated workspace; enforces student concurrency limit of 2 workspaces.</w:t>
      </w:r>
    </w:p>
    <w:p>
      <w:pPr>
        <w:pStyle w:val="ListBullet"/>
        <w:spacing w:line="312" w:lineRule="auto" w:after="80"/>
        <w:jc w:val="both"/>
      </w:pPr>
      <w:r>
        <w:rPr>
          <w:rFonts w:ascii="Times New Roman" w:hAnsi="Times New Roman"/>
          <w:b/>
          <w:sz w:val="24"/>
        </w:rPr>
        <w:t xml:space="preserve">POST /api/workspaces/[id]/test: </w:t>
      </w:r>
      <w:r>
        <w:rPr>
          <w:rFonts w:ascii="Times New Roman" w:hAnsi="Times New Roman"/>
          <w:sz w:val="24"/>
        </w:rPr>
        <w:t>Executes in-sandbox test suite with 4000ms timeout cap; streams test summary envelope.</w:t>
      </w:r>
    </w:p>
    <w:p>
      <w:pPr>
        <w:pStyle w:val="ListBullet"/>
        <w:spacing w:line="312" w:lineRule="auto" w:after="80"/>
        <w:jc w:val="both"/>
      </w:pPr>
      <w:r>
        <w:rPr>
          <w:rFonts w:ascii="Times New Roman" w:hAnsi="Times New Roman"/>
          <w:b/>
          <w:sz w:val="24"/>
        </w:rPr>
        <w:t xml:space="preserve">POST /api/workspaces/[id]/submit: </w:t>
      </w:r>
      <w:r>
        <w:rPr>
          <w:rFonts w:ascii="Times New Roman" w:hAnsi="Times New Roman"/>
          <w:sz w:val="24"/>
        </w:rPr>
        <w:t>Captures Git unified diff and commit SHA; triggers evaluation pipeline.</w:t>
      </w:r>
    </w:p>
    <w:p>
      <w:pPr>
        <w:pStyle w:val="ListBullet"/>
        <w:spacing w:line="312" w:lineRule="auto" w:after="80"/>
        <w:jc w:val="both"/>
      </w:pPr>
      <w:r>
        <w:rPr>
          <w:rFonts w:ascii="Times New Roman" w:hAnsi="Times New Roman"/>
          <w:b/>
          <w:sz w:val="24"/>
        </w:rPr>
        <w:t xml:space="preserve">GET /api/admin/audit-logs: </w:t>
      </w:r>
      <w:r>
        <w:rPr>
          <w:rFonts w:ascii="Times New Roman" w:hAnsi="Times New Roman"/>
          <w:sz w:val="24"/>
        </w:rPr>
        <w:t>Administrator-only endpoint retrieving paginated immutable audit log events.</w:t>
      </w:r>
    </w:p>
    <w:p>
      <w:pPr>
        <w:keepNext/>
        <w:spacing w:before="280" w:after="100"/>
      </w:pPr>
      <w:r>
        <w:rPr>
          <w:rFonts w:ascii="Times New Roman" w:hAnsi="Times New Roman"/>
          <w:b/>
          <w:color w:val="1E3A8A"/>
          <w:sz w:val="28"/>
        </w:rPr>
        <w:t>Appendix C: Sample Architectural Decision Record (ADR-001)</w:t>
      </w:r>
    </w:p>
    <w:p>
      <w:pPr>
        <w:spacing w:line="360" w:lineRule="auto" w:after="120"/>
        <w:jc w:val="both"/>
      </w:pPr>
      <w:r>
        <w:rPr>
          <w:rFonts w:ascii="Times New Roman" w:hAnsi="Times New Roman"/>
          <w:sz w:val="24"/>
        </w:rPr>
        <w:t>To demonstrate how enterprise architecture is embedded into tasks, the flagship FinFlow Technologies Payment Webhook task (FF-104) incorporates the following ADR:</w:t>
      </w:r>
    </w:p>
    <w:p>
      <w:pPr>
        <w:pStyle w:val="ListBullet"/>
        <w:spacing w:line="312" w:lineRule="auto" w:after="80"/>
        <w:jc w:val="both"/>
      </w:pPr>
      <w:r>
        <w:rPr>
          <w:rFonts w:ascii="Times New Roman" w:hAnsi="Times New Roman"/>
          <w:b/>
          <w:sz w:val="24"/>
        </w:rPr>
        <w:t xml:space="preserve">ADR Identifier: </w:t>
      </w:r>
      <w:r>
        <w:rPr>
          <w:rFonts w:ascii="Times New Roman" w:hAnsi="Times New Roman"/>
          <w:sz w:val="24"/>
        </w:rPr>
        <w:t>ADR-001 — Payment Webhook Idempotency &amp; Concurrency Control</w:t>
      </w:r>
    </w:p>
    <w:p>
      <w:pPr>
        <w:pStyle w:val="ListBullet"/>
        <w:spacing w:line="312" w:lineRule="auto" w:after="80"/>
        <w:jc w:val="both"/>
      </w:pPr>
      <w:r>
        <w:rPr>
          <w:rFonts w:ascii="Times New Roman" w:hAnsi="Times New Roman"/>
          <w:b/>
          <w:sz w:val="24"/>
        </w:rPr>
        <w:t xml:space="preserve">Context: </w:t>
      </w:r>
      <w:r>
        <w:rPr>
          <w:rFonts w:ascii="Times New Roman" w:hAnsi="Times New Roman"/>
          <w:sz w:val="24"/>
        </w:rPr>
        <w:t>FinFlow Technologies receives external payment webhooks from Stripe and Adyen. Due to network retries, duplicate webhooks are delivered concurrently, causing race conditions and double-crediting merchant accounts.</w:t>
      </w:r>
    </w:p>
    <w:p>
      <w:pPr>
        <w:pStyle w:val="ListBullet"/>
        <w:spacing w:line="312" w:lineRule="auto" w:after="80"/>
        <w:jc w:val="both"/>
      </w:pPr>
      <w:r>
        <w:rPr>
          <w:rFonts w:ascii="Times New Roman" w:hAnsi="Times New Roman"/>
          <w:b/>
          <w:sz w:val="24"/>
        </w:rPr>
        <w:t xml:space="preserve">Decision: </w:t>
      </w:r>
      <w:r>
        <w:rPr>
          <w:rFonts w:ascii="Times New Roman" w:hAnsi="Times New Roman"/>
          <w:sz w:val="24"/>
        </w:rPr>
        <w:t>Implement an Idempotency-Key validation layer using atomic database transactions. The handler must inspect the X-Idempotency-Key header, query existing transaction records, return HTTP 200 with cached payload on duplicates, and reject missing keys with HTTP 400 Bad Request.</w:t>
      </w:r>
    </w:p>
    <w:p>
      <w:pPr>
        <w:pStyle w:val="ListBullet"/>
        <w:spacing w:line="312" w:lineRule="auto" w:after="80"/>
        <w:jc w:val="both"/>
      </w:pPr>
      <w:r>
        <w:rPr>
          <w:rFonts w:ascii="Times New Roman" w:hAnsi="Times New Roman"/>
          <w:b/>
          <w:sz w:val="24"/>
        </w:rPr>
        <w:t xml:space="preserve">Consequences: </w:t>
      </w:r>
      <w:r>
        <w:rPr>
          <w:rFonts w:ascii="Times New Roman" w:hAnsi="Times New Roman"/>
          <w:sz w:val="24"/>
        </w:rPr>
        <w:t>Guarantees exact-once financial ledger consistency while maintaining sub-50ms API processing latency.</w:t>
      </w:r>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475569"/>
        <w:sz w:val="17"/>
      </w:rPr>
      <w:t>Major Project Stage-I Report  |  Department of Computer Science and Engineering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475569"/>
        <w:sz w:val="17"/>
      </w:rPr>
      <w:t>WORKUP: Virtual Professional Experience Platform  |  Major Project Stage-I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