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60" w:line="300"/>
        <w:jc w:val="right"/>
      </w:pPr>
      <w:r>
        <w:rPr>
          <w:rFonts w:ascii="游ゴシック" w:cs="游ゴシック" w:eastAsia="游ゴシック" w:hAnsi="游ゴシック"/>
          <w:b w:val="false"/>
          <w:bCs w:val="false"/>
          <w:i w:val="false"/>
          <w:iCs w:val="false"/>
          <w:color w:val="3F4756"/>
          <w:sz w:val="20"/>
          <w:szCs w:val="20"/>
        </w:rPr>
        <w:t xml:space="preserve">2026年8月19日</w:t>
      </w:r>
    </w:p>
    <w:p>
      <w:pPr>
        <w:spacing w:after="200" w:before="0" w:line="300"/>
        <w:jc w:val="right"/>
      </w:pPr>
      <w:r>
        <w:rPr>
          <w:rFonts w:ascii="游ゴシック" w:cs="游ゴシック" w:eastAsia="游ゴシック" w:hAnsi="游ゴシック"/>
          <w:b w:val="false"/>
          <w:bCs w:val="false"/>
          <w:i w:val="false"/>
          <w:iCs w:val="false"/>
          <w:color w:val="3F4756"/>
          <w:sz w:val="20"/>
          <w:szCs w:val="20"/>
        </w:rPr>
        <w:t xml:space="preserve">人事管理部</w:t>
      </w:r>
    </w:p>
    <w:p>
      <w:pPr>
        <w:spacing w:after="40" w:before="60"/>
        <w:jc w:val="center"/>
      </w:pPr>
      <w:r>
        <w:rPr>
          <w:rFonts w:ascii="游明朝" w:cs="游明朝" w:eastAsia="游明朝" w:hAnsi="游明朝"/>
          <w:b/>
          <w:bCs/>
          <w:i w:val="false"/>
          <w:iCs w:val="false"/>
          <w:color w:val="16304F"/>
          <w:spacing w:val="40"/>
          <w:sz w:val="34"/>
          <w:szCs w:val="34"/>
        </w:rPr>
        <w:t xml:space="preserve">社員紹介制度　運用要領</w:t>
      </w:r>
    </w:p>
    <w:p>
      <w:pPr>
        <w:spacing w:after="60"/>
        <w:jc w:val="center"/>
      </w:pPr>
      <w:r>
        <w:rPr>
          <w:rFonts w:ascii="游ゴシック" w:cs="游ゴシック" w:eastAsia="游ゴシック" w:hAnsi="游ゴシック"/>
          <w:b/>
          <w:bCs/>
          <w:i w:val="false"/>
          <w:iCs w:val="false"/>
          <w:color w:val="16304F"/>
          <w:sz w:val="22"/>
          <w:szCs w:val="22"/>
        </w:rPr>
        <w:t xml:space="preserve">― 実務運用編 ―</w:t>
      </w:r>
    </w:p>
    <w:p>
      <w:pPr>
        <w:pBdr>
          <w:bottom w:val="single" w:color="9C6F1E" w:sz="8" w:space="8"/>
        </w:pBdr>
        <w:spacing w:after="220"/>
        <w:jc w:val="center"/>
      </w:pPr>
      <w:r>
        <w:rPr>
          <w:rFonts w:ascii="游ゴシック" w:cs="游ゴシック" w:eastAsia="游ゴシック" w:hAnsi="游ゴシック"/>
          <w:b w:val="false"/>
          <w:bCs w:val="false"/>
          <w:i w:val="false"/>
          <w:iCs w:val="false"/>
          <w:color w:val="9C6F1E"/>
          <w:sz w:val="18"/>
          <w:szCs w:val="18"/>
        </w:rPr>
        <w:t xml:space="preserve">FMG Referral Challenge</w:t>
      </w:r>
    </w:p>
    <w:p>
      <w:pPr>
        <w:spacing w:after="160" w:before="0" w:line="300"/>
      </w:pPr>
      <w:r>
        <w:rPr>
          <w:rFonts w:ascii="游ゴシック" w:cs="游ゴシック" w:eastAsia="游ゴシック" w:hAnsi="游ゴシック"/>
          <w:b w:val="false"/>
          <w:bCs w:val="false"/>
          <w:i w:val="false"/>
          <w:iCs w:val="false"/>
          <w:color w:val="3F4756"/>
          <w:sz w:val="21"/>
          <w:szCs w:val="21"/>
        </w:rPr>
        <w:t xml:space="preserve">　本要領は、社員紹介制度「FMG Referral Challenge」について、関係部門が円滑かつ公平に運用するための実務手順を定めたものです。制度の内容（対象範囲・要件・金額等）は「社員紹介制度 運用要領（案）」（以下「制度規程」といいます。）に定めるところによります。</w:t>
      </w:r>
    </w:p>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1. </w:t>
      </w:r>
      <w:r>
        <w:rPr>
          <w:rFonts w:ascii="游ゴシック" w:cs="游ゴシック" w:eastAsia="游ゴシック" w:hAnsi="游ゴシック"/>
          <w:b/>
          <w:bCs/>
          <w:i w:val="false"/>
          <w:iCs w:val="false"/>
          <w:color w:val="16304F"/>
          <w:sz w:val="24"/>
          <w:szCs w:val="24"/>
        </w:rPr>
        <w:t xml:space="preserve">目的</w:t>
      </w:r>
    </w:p>
    <w:p>
      <w:pPr>
        <w:spacing w:after="120" w:before="0" w:line="300"/>
      </w:pPr>
      <w:r>
        <w:rPr>
          <w:rFonts w:ascii="游ゴシック" w:cs="游ゴシック" w:eastAsia="游ゴシック" w:hAnsi="游ゴシック"/>
          <w:b w:val="false"/>
          <w:bCs w:val="false"/>
          <w:i w:val="false"/>
          <w:iCs w:val="false"/>
          <w:color w:val="3F4756"/>
          <w:sz w:val="21"/>
          <w:szCs w:val="21"/>
        </w:rPr>
        <w:t xml:space="preserve">本要領は、制度規程に定める社員紹介制度及び社内コンテスト「FMG Referral Challenge」について、関係部門の役割分担、業務手順、使用帳票、管理方法並びにイレギュラー発生時の対応を定め、制度の公平かつ確実な運用を図ることを目的とする。</w:t>
      </w:r>
    </w:p>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2. </w:t>
      </w:r>
      <w:r>
        <w:rPr>
          <w:rFonts w:ascii="游ゴシック" w:cs="游ゴシック" w:eastAsia="游ゴシック" w:hAnsi="游ゴシック"/>
          <w:b/>
          <w:bCs/>
          <w:i w:val="false"/>
          <w:iCs w:val="false"/>
          <w:color w:val="16304F"/>
          <w:sz w:val="24"/>
          <w:szCs w:val="24"/>
        </w:rPr>
        <w:t xml:space="preserve">適用範囲</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1700"/>
        <w:gridCol w:w="7326"/>
      </w:tblGrid>
      <w:tr>
        <w:tc>
          <w:tcPr>
            <w:tcW w:type="dxa" w:w="17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対象拠点</w:t>
            </w:r>
          </w:p>
        </w:tc>
        <w:tc>
          <w:tcPr>
            <w:tcW w:type="dxa" w:w="73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成田空港（NRT）・新千歳空港（CTS）・関西空港（KIX）</w:t>
            </w:r>
          </w:p>
        </w:tc>
      </w:tr>
      <w:tr>
        <w:tc>
          <w:tcPr>
            <w:tcW w:type="dxa" w:w="17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対象部門</w:t>
            </w:r>
          </w:p>
        </w:tc>
        <w:tc>
          <w:tcPr>
            <w:tcW w:type="dxa" w:w="73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旅客部門（PAX）のみ。RAMP・OPS・WBその他の部門は対象外</w:t>
            </w:r>
          </w:p>
        </w:tc>
      </w:tr>
      <w:tr>
        <w:tc>
          <w:tcPr>
            <w:tcW w:type="dxa" w:w="17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実施期間</w:t>
            </w:r>
          </w:p>
        </w:tc>
        <w:tc>
          <w:tcPr>
            <w:tcW w:type="dxa" w:w="73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施行日から3か月間。実施期間内に紹介フォームが受理された被紹介者は、選考・入社が期間終了後となった場合も対象</w:t>
            </w:r>
          </w:p>
        </w:tc>
      </w:tr>
      <w:tr>
        <w:tc>
          <w:tcPr>
            <w:tcW w:type="dxa" w:w="17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紹介者</w:t>
            </w:r>
          </w:p>
        </w:tc>
        <w:tc>
          <w:tcPr>
            <w:tcW w:type="dxa" w:w="73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FMG在籍の正社員・契約社員・パートタイマー（採用業務を直接担当する社員を除く）。所属拠点・部門は問わない</w:t>
            </w:r>
          </w:p>
        </w:tc>
      </w:tr>
      <w:tr>
        <w:tc>
          <w:tcPr>
            <w:tcW w:type="dxa" w:w="17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被紹介者</w:t>
            </w:r>
          </w:p>
        </w:tc>
        <w:tc>
          <w:tcPr>
            <w:tcW w:type="dxa" w:w="73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制度規程第5条の要件を満たす空港旅客ハンドリング業務経験者。雇用形態は問わない</w:t>
            </w:r>
          </w:p>
        </w:tc>
      </w:tr>
    </w:tbl>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3. </w:t>
      </w:r>
      <w:r>
        <w:rPr>
          <w:rFonts w:ascii="游ゴシック" w:cs="游ゴシック" w:eastAsia="游ゴシック" w:hAnsi="游ゴシック"/>
          <w:b/>
          <w:bCs/>
          <w:i w:val="false"/>
          <w:iCs w:val="false"/>
          <w:color w:val="16304F"/>
          <w:sz w:val="24"/>
          <w:szCs w:val="24"/>
        </w:rPr>
        <w:t xml:space="preserve">制度規程との関係</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制度の内容（対象範囲、要件、インセンティブ額、ポイント、賞金、支給条件等）は制度規程に定めるところによる。本要領は、その実務手順を補完するものである。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本要領の記載と制度規程の内容が異なる場合は、制度規程を優先し、人事管理部が速やかに本要領を改定する。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本要領に定める処理日数・締切等は、特に定めのない限り運用上の目安であり、業務量等により前後する場合がある。</w:t>
      </w:r>
    </w:p>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4. </w:t>
      </w:r>
      <w:r>
        <w:rPr>
          <w:rFonts w:ascii="游ゴシック" w:cs="游ゴシック" w:eastAsia="游ゴシック" w:hAnsi="游ゴシック"/>
          <w:b/>
          <w:bCs/>
          <w:i w:val="false"/>
          <w:iCs w:val="false"/>
          <w:color w:val="16304F"/>
          <w:sz w:val="24"/>
          <w:szCs w:val="24"/>
        </w:rPr>
        <w:t xml:space="preserve">用語の定義</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1700"/>
        <w:gridCol w:w="7326"/>
      </w:tblGrid>
      <w:tr>
        <w:tc>
          <w:tcPr>
            <w:tcW w:type="dxa" w:w="17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紹介者</w:t>
            </w:r>
          </w:p>
        </w:tc>
        <w:tc>
          <w:tcPr>
            <w:tcW w:type="dxa" w:w="73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被紹介者を紹介した本人であって、制度規程第4条の要件を満たすFMG社員</w:t>
            </w:r>
          </w:p>
        </w:tc>
      </w:tr>
      <w:tr>
        <w:tc>
          <w:tcPr>
            <w:tcW w:type="dxa" w:w="17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被紹介者</w:t>
            </w:r>
          </w:p>
        </w:tc>
        <w:tc>
          <w:tcPr>
            <w:tcW w:type="dxa" w:w="73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紹介者から紹介を受け、NRT・CTS・KIXのPAXへの入社を希望する空港旅客ハンドリング業務経験者</w:t>
            </w:r>
          </w:p>
        </w:tc>
      </w:tr>
      <w:tr>
        <w:tc>
          <w:tcPr>
            <w:tcW w:type="dxa" w:w="17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紹介フォーム</w:t>
            </w:r>
          </w:p>
        </w:tc>
        <w:tc>
          <w:tcPr>
            <w:tcW w:type="dxa" w:w="73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紹介者が提出する所定様式。制度上の紹介の起点となる帳票</w:t>
            </w:r>
          </w:p>
        </w:tc>
      </w:tr>
      <w:tr>
        <w:tc>
          <w:tcPr>
            <w:tcW w:type="dxa" w:w="17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受理</w:t>
            </w:r>
          </w:p>
        </w:tc>
        <w:tc>
          <w:tcPr>
            <w:tcW w:type="dxa" w:w="73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紹介フォームの必須項目がすべて記載されていることを人事採用戦略部が確認し、紹介管理台帳へ登録した状態</w:t>
            </w:r>
          </w:p>
        </w:tc>
      </w:tr>
      <w:tr>
        <w:tc>
          <w:tcPr>
            <w:tcW w:type="dxa" w:w="17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受付日時</w:t>
            </w:r>
          </w:p>
        </w:tc>
        <w:tc>
          <w:tcPr>
            <w:tcW w:type="dxa" w:w="73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受理した紹介フォームについて紹介管理台帳に記録する日時。重複紹介の優先順位判定の基準となる</w:t>
            </w:r>
          </w:p>
        </w:tc>
      </w:tr>
      <w:tr>
        <w:tc>
          <w:tcPr>
            <w:tcW w:type="dxa" w:w="17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本採用</w:t>
            </w:r>
          </w:p>
        </w:tc>
        <w:tc>
          <w:tcPr>
            <w:tcW w:type="dxa" w:w="73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被紹介者が試用期間3か月を満了し、本採用となった状態</w:t>
            </w:r>
          </w:p>
        </w:tc>
      </w:tr>
      <w:tr>
        <w:tc>
          <w:tcPr>
            <w:tcW w:type="dxa" w:w="17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ポイント</w:t>
            </w:r>
          </w:p>
        </w:tc>
        <w:tc>
          <w:tcPr>
            <w:tcW w:type="dxa" w:w="73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被紹介者の入社をもって紹介者に付与される、コンテストの順位決定に用いる点数</w:t>
            </w:r>
          </w:p>
        </w:tc>
      </w:tr>
      <w:tr>
        <w:tc>
          <w:tcPr>
            <w:tcW w:type="dxa" w:w="17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紹介管理台帳</w:t>
            </w:r>
          </w:p>
        </w:tc>
        <w:tc>
          <w:tcPr>
            <w:tcW w:type="dxa" w:w="73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紹介の受付から入社、インセンティブ支給までを一元管理する台帳</w:t>
            </w:r>
          </w:p>
        </w:tc>
      </w:tr>
    </w:tbl>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5. </w:t>
      </w:r>
      <w:r>
        <w:rPr>
          <w:rFonts w:ascii="游ゴシック" w:cs="游ゴシック" w:eastAsia="游ゴシック" w:hAnsi="游ゴシック"/>
          <w:b/>
          <w:bCs/>
          <w:i w:val="false"/>
          <w:iCs w:val="false"/>
          <w:color w:val="16304F"/>
          <w:sz w:val="24"/>
          <w:szCs w:val="24"/>
        </w:rPr>
        <w:t xml:space="preserve">実施体制と役割分担</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1900"/>
        <w:gridCol w:w="7126"/>
      </w:tblGrid>
      <w:tr>
        <w:tc>
          <w:tcPr>
            <w:tcW w:type="dxa" w:w="19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人事採用戦略部</w:t>
            </w:r>
          </w:p>
          <w:p>
            <w:pPr>
              <w:spacing w:after="0" w:line="280"/>
            </w:pPr>
            <w:r>
              <w:rPr>
                <w:rFonts w:ascii="游ゴシック" w:cs="游ゴシック" w:eastAsia="游ゴシック" w:hAnsi="游ゴシック"/>
                <w:b/>
                <w:bCs/>
                <w:i w:val="false"/>
                <w:iCs w:val="false"/>
                <w:color w:val="16304F"/>
                <w:sz w:val="20"/>
                <w:szCs w:val="20"/>
              </w:rPr>
              <w:t xml:space="preserve">野澤</w:t>
            </w:r>
          </w:p>
        </w:tc>
        <w:tc>
          <w:tcPr>
            <w:tcW w:type="dxa" w:w="71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紹介フォームの受付・受理判定、重複紹介・既応募者の照合、被紹介者への連絡、必要書類の回収、書類選考・面接の実施及び日程調整、採否結果の通知、紹介管理台帳の更新</w:t>
            </w:r>
          </w:p>
        </w:tc>
      </w:tr>
      <w:tr>
        <w:tc>
          <w:tcPr>
            <w:tcW w:type="dxa" w:w="19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人事採用戦略部</w:t>
            </w:r>
          </w:p>
          <w:p>
            <w:pPr>
              <w:spacing w:after="0" w:line="280"/>
            </w:pPr>
            <w:r>
              <w:rPr>
                <w:rFonts w:ascii="游ゴシック" w:cs="游ゴシック" w:eastAsia="游ゴシック" w:hAnsi="游ゴシック"/>
                <w:b/>
                <w:bCs/>
                <w:i w:val="false"/>
                <w:iCs w:val="false"/>
                <w:color w:val="16304F"/>
                <w:sz w:val="20"/>
                <w:szCs w:val="20"/>
              </w:rPr>
              <w:t xml:space="preserve">内山</w:t>
            </w:r>
          </w:p>
        </w:tc>
        <w:tc>
          <w:tcPr>
            <w:tcW w:type="dxa" w:w="71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ポイントの付与判定及びポイント管理台帳の管理、中間集計及び進捗共有、最終ポイント・順位の確定、表彰資料の作成</w:t>
            </w:r>
          </w:p>
        </w:tc>
      </w:tr>
      <w:tr>
        <w:tc>
          <w:tcPr>
            <w:tcW w:type="dxa" w:w="19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人事管理部</w:t>
            </w:r>
          </w:p>
          <w:p>
            <w:pPr>
              <w:spacing w:after="0" w:line="280"/>
            </w:pPr>
            <w:r>
              <w:rPr>
                <w:rFonts w:ascii="游ゴシック" w:cs="游ゴシック" w:eastAsia="游ゴシック" w:hAnsi="游ゴシック"/>
                <w:b/>
                <w:bCs/>
                <w:i w:val="false"/>
                <w:iCs w:val="false"/>
                <w:color w:val="16304F"/>
                <w:sz w:val="20"/>
                <w:szCs w:val="20"/>
              </w:rPr>
              <w:t xml:space="preserve">坂本</w:t>
            </w:r>
          </w:p>
        </w:tc>
        <w:tc>
          <w:tcPr>
            <w:tcW w:type="dxa" w:w="71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紹介インセンティブ支給申請書の受付、支給要件の確認、給与担当への支給連携、インセンティブ及び賞金の支給処理</w:t>
            </w:r>
          </w:p>
        </w:tc>
      </w:tr>
      <w:tr>
        <w:tc>
          <w:tcPr>
            <w:tcW w:type="dxa" w:w="19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人事管理部</w:t>
            </w:r>
          </w:p>
          <w:p>
            <w:pPr>
              <w:spacing w:after="0" w:line="280"/>
            </w:pPr>
            <w:r>
              <w:rPr>
                <w:rFonts w:ascii="游ゴシック" w:cs="游ゴシック" w:eastAsia="游ゴシック" w:hAnsi="游ゴシック"/>
                <w:b/>
                <w:bCs/>
                <w:i w:val="false"/>
                <w:iCs w:val="false"/>
                <w:color w:val="16304F"/>
                <w:sz w:val="20"/>
                <w:szCs w:val="20"/>
              </w:rPr>
              <w:t xml:space="preserve">髙田部長</w:t>
            </w:r>
          </w:p>
        </w:tc>
        <w:tc>
          <w:tcPr>
            <w:tcW w:type="dxa" w:w="71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制度上の解釈、就業規則・賃金規程その他関係規程との整合確認、制度の変更・終了に関する決裁、疑義事項の最終判断</w:t>
            </w:r>
          </w:p>
        </w:tc>
      </w:tr>
      <w:tr>
        <w:tc>
          <w:tcPr>
            <w:tcW w:type="dxa" w:w="19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各拠点採用担当者</w:t>
            </w:r>
          </w:p>
          <w:p>
            <w:pPr>
              <w:spacing w:after="0" w:line="280"/>
            </w:pPr>
            <w:r>
              <w:rPr>
                <w:rFonts w:ascii="游ゴシック" w:cs="游ゴシック" w:eastAsia="游ゴシック" w:hAnsi="游ゴシック"/>
                <w:b/>
                <w:bCs/>
                <w:i w:val="false"/>
                <w:iCs w:val="false"/>
                <w:color w:val="16304F"/>
                <w:sz w:val="20"/>
                <w:szCs w:val="20"/>
              </w:rPr>
              <w:t xml:space="preserve">NRT／CTS／KIX</w:t>
            </w:r>
          </w:p>
        </w:tc>
        <w:tc>
          <w:tcPr>
            <w:tcW w:type="dxa" w:w="71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募集条件の提示、面接への協力、採用条件の決定、入社手続、入社日・雇用区分・所定労働時間の連携、試用期間満了・本採用の連絡、退職発生時の連絡</w:t>
            </w:r>
          </w:p>
        </w:tc>
      </w:tr>
      <w:tr>
        <w:tc>
          <w:tcPr>
            <w:tcW w:type="dxa" w:w="19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紹介者（全社員）</w:t>
            </w:r>
          </w:p>
        </w:tc>
        <w:tc>
          <w:tcPr>
            <w:tcW w:type="dxa" w:w="71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被紹介者本人の応募意思及び紹介への同意取得、紹介フォームの提出、紹介インセンティブ支給申請書の提出</w:t>
            </w:r>
          </w:p>
        </w:tc>
      </w:tr>
    </w:tbl>
    <w:p>
      <w:pPr>
        <w:spacing w:after="100"/>
      </w:pPr>
      <w:r>
        <w:rPr>
          <w:rFonts w:ascii="游ゴシック" w:cs="游ゴシック" w:eastAsia="游ゴシック" w:hAnsi="游ゴシック"/>
          <w:b w:val="false"/>
          <w:bCs w:val="false"/>
          <w:i w:val="false"/>
          <w:iCs w:val="false"/>
          <w:color w:val="3F4756"/>
          <w:sz w:val="21"/>
          <w:szCs w:val="21"/>
        </w:rPr>
        <w:t xml:space="preserve"/>
      </w:r>
    </w:p>
    <w:p>
      <w:pPr>
        <w:keepNext/>
        <w:spacing w:after="80" w:before="180"/>
      </w:pPr>
      <w:r>
        <w:rPr>
          <w:rFonts w:ascii="游ゴシック" w:cs="游ゴシック" w:eastAsia="游ゴシック" w:hAnsi="游ゴシック"/>
          <w:b/>
          <w:bCs/>
          <w:i w:val="false"/>
          <w:iCs w:val="false"/>
          <w:color w:val="16304F"/>
          <w:sz w:val="21"/>
          <w:szCs w:val="21"/>
        </w:rPr>
        <w:t xml:space="preserve">（1）工程別の担当区分</w:t>
      </w:r>
    </w:p>
    <w:p>
      <w:pPr>
        <w:spacing w:after="60" w:before="0" w:line="300"/>
      </w:pPr>
      <w:r>
        <w:rPr>
          <w:rFonts w:ascii="游ゴシック" w:cs="游ゴシック" w:eastAsia="游ゴシック" w:hAnsi="游ゴシック"/>
          <w:b w:val="false"/>
          <w:bCs w:val="false"/>
          <w:i w:val="false"/>
          <w:iCs w:val="false"/>
          <w:color w:val="3F4756"/>
          <w:sz w:val="18"/>
          <w:szCs w:val="18"/>
        </w:rPr>
        <w:t xml:space="preserve">◎＝主担当　○＝関与　－＝関与なし</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3026"/>
        <w:gridCol w:w="1500"/>
        <w:gridCol w:w="1500"/>
        <w:gridCol w:w="1500"/>
        <w:gridCol w:w="1500"/>
      </w:tblGrid>
      <w:tr>
        <w:trPr>
          <w:tblHeader/>
        </w:trPr>
        <w:tc>
          <w:tcPr>
            <w:tcW w:type="dxa" w:w="3026"/>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工程</w:t>
            </w:r>
          </w:p>
        </w:tc>
        <w:tc>
          <w:tcPr>
            <w:tcW w:type="dxa" w:w="15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採用戦略部</w:t>
            </w:r>
          </w:p>
          <w:p>
            <w:pPr>
              <w:spacing w:after="0" w:line="280"/>
              <w:jc w:val="center"/>
            </w:pPr>
            <w:r>
              <w:rPr>
                <w:rFonts w:ascii="游ゴシック" w:cs="游ゴシック" w:eastAsia="游ゴシック" w:hAnsi="游ゴシック"/>
                <w:b/>
                <w:bCs/>
                <w:i w:val="false"/>
                <w:iCs w:val="false"/>
                <w:color w:val="16304F"/>
                <w:sz w:val="20"/>
                <w:szCs w:val="20"/>
              </w:rPr>
              <w:t xml:space="preserve">（野澤）</w:t>
            </w:r>
          </w:p>
        </w:tc>
        <w:tc>
          <w:tcPr>
            <w:tcW w:type="dxa" w:w="15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採用戦略部</w:t>
            </w:r>
          </w:p>
          <w:p>
            <w:pPr>
              <w:spacing w:after="0" w:line="280"/>
              <w:jc w:val="center"/>
            </w:pPr>
            <w:r>
              <w:rPr>
                <w:rFonts w:ascii="游ゴシック" w:cs="游ゴシック" w:eastAsia="游ゴシック" w:hAnsi="游ゴシック"/>
                <w:b/>
                <w:bCs/>
                <w:i w:val="false"/>
                <w:iCs w:val="false"/>
                <w:color w:val="16304F"/>
                <w:sz w:val="20"/>
                <w:szCs w:val="20"/>
              </w:rPr>
              <w:t xml:space="preserve">（内山）</w:t>
            </w:r>
          </w:p>
        </w:tc>
        <w:tc>
          <w:tcPr>
            <w:tcW w:type="dxa" w:w="15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人事管理部</w:t>
            </w:r>
          </w:p>
          <w:p>
            <w:pPr>
              <w:spacing w:after="0" w:line="280"/>
              <w:jc w:val="center"/>
            </w:pPr>
            <w:r>
              <w:rPr>
                <w:rFonts w:ascii="游ゴシック" w:cs="游ゴシック" w:eastAsia="游ゴシック" w:hAnsi="游ゴシック"/>
                <w:b/>
                <w:bCs/>
                <w:i w:val="false"/>
                <w:iCs w:val="false"/>
                <w:color w:val="16304F"/>
                <w:sz w:val="20"/>
                <w:szCs w:val="20"/>
              </w:rPr>
              <w:t xml:space="preserve">（坂本）</w:t>
            </w:r>
          </w:p>
        </w:tc>
        <w:tc>
          <w:tcPr>
            <w:tcW w:type="dxa" w:w="15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拠点採用</w:t>
            </w:r>
          </w:p>
          <w:p>
            <w:pPr>
              <w:spacing w:after="0" w:line="280"/>
              <w:jc w:val="center"/>
            </w:pPr>
            <w:r>
              <w:rPr>
                <w:rFonts w:ascii="游ゴシック" w:cs="游ゴシック" w:eastAsia="游ゴシック" w:hAnsi="游ゴシック"/>
                <w:b/>
                <w:bCs/>
                <w:i w:val="false"/>
                <w:iCs w:val="false"/>
                <w:color w:val="16304F"/>
                <w:sz w:val="20"/>
                <w:szCs w:val="20"/>
              </w:rPr>
              <w:t xml:space="preserve">担当者</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紹介フォーム受付・受理判定</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重複・既応募チェック</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被紹介者への連絡・書類回収</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書類選考・面接</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採用条件の決定・内定通知</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入社手続・入社日確定</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ポイント付与・確定</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試用期間満了・本採用確認</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インセンティブ申請受付・支給</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最終集計・順位確定・表彰</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c>
          <w:tcPr>
            <w:tcW w:type="dxa" w:w="15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w:t>
            </w:r>
          </w:p>
        </w:tc>
      </w:tr>
    </w:tbl>
    <w:p>
      <w:pPr>
        <w:spacing w:after="100"/>
      </w:pPr>
      <w:r>
        <w:rPr>
          <w:rFonts w:ascii="游ゴシック" w:cs="游ゴシック" w:eastAsia="游ゴシック" w:hAnsi="游ゴシック"/>
          <w:b w:val="false"/>
          <w:bCs w:val="false"/>
          <w:i w:val="false"/>
          <w:iCs w:val="false"/>
          <w:color w:val="3F4756"/>
          <w:sz w:val="21"/>
          <w:szCs w:val="21"/>
        </w:rPr>
        <w:t xml:space="preserve"/>
      </w:r>
    </w:p>
    <w:p>
      <w:pPr>
        <w:keepNext/>
        <w:spacing w:after="80" w:before="180"/>
      </w:pPr>
      <w:r>
        <w:rPr>
          <w:rFonts w:ascii="游ゴシック" w:cs="游ゴシック" w:eastAsia="游ゴシック" w:hAnsi="游ゴシック"/>
          <w:b/>
          <w:bCs/>
          <w:i w:val="false"/>
          <w:iCs w:val="false"/>
          <w:color w:val="16304F"/>
          <w:sz w:val="21"/>
          <w:szCs w:val="21"/>
        </w:rPr>
        <w:t xml:space="preserve">（2）情報連携</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人事採用戦略部及び人事管理部は、実施期間中、月1回を目安に進捗（受付件数・選考状況・入社件数・ポイント状況）を相互に共有する。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拠点採用担当者は、被紹介者の入社日、雇用区分、所定労働時間、試用期間満了日及び本採用の可否が確定した都度、人事採用戦略部へ連絡する。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紹介者又は被紹介者の退職が判明した場合は、ポイント及び支給資格に影響するため、拠点採用担当者又は人事管理部から速やかに人事採用戦略部（内山）へ連絡する。</w:t>
      </w:r>
    </w:p>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6. </w:t>
      </w:r>
      <w:r>
        <w:rPr>
          <w:rFonts w:ascii="游ゴシック" w:cs="游ゴシック" w:eastAsia="游ゴシック" w:hAnsi="游ゴシック"/>
          <w:b/>
          <w:bCs/>
          <w:i w:val="false"/>
          <w:iCs w:val="false"/>
          <w:color w:val="16304F"/>
          <w:sz w:val="24"/>
          <w:szCs w:val="24"/>
        </w:rPr>
        <w:t xml:space="preserve">全体業務フロー</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700"/>
        <w:gridCol w:w="2526"/>
        <w:gridCol w:w="2100"/>
        <w:gridCol w:w="1900"/>
        <w:gridCol w:w="1800"/>
      </w:tblGrid>
      <w:tr>
        <w:trPr>
          <w:tblHeader/>
        </w:trPr>
        <w:tc>
          <w:tcPr>
            <w:tcW w:type="dxa" w:w="7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No</w:t>
            </w:r>
          </w:p>
        </w:tc>
        <w:tc>
          <w:tcPr>
            <w:tcW w:type="dxa" w:w="2526"/>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ステップ</w:t>
            </w:r>
          </w:p>
        </w:tc>
        <w:tc>
          <w:tcPr>
            <w:tcW w:type="dxa" w:w="21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担当</w:t>
            </w:r>
          </w:p>
        </w:tc>
        <w:tc>
          <w:tcPr>
            <w:tcW w:type="dxa" w:w="19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目安期限</w:t>
            </w:r>
          </w:p>
        </w:tc>
        <w:tc>
          <w:tcPr>
            <w:tcW w:type="dxa" w:w="18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使用帳票・記録</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S1</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制度の周知・告知</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人事採用戦略部</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施行日</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制度案内、早見表</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S2</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紹介フォームの提出</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紹介者</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実施期間内</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紹介フォーム</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S3</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受付・受理判定（重複・既応募照合含む）</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提出から3営業日以内</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紹介管理台帳</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S4</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受理／不受理の紹介者への通知</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判定後2営業日以内</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メール等の記録</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S5</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被紹介者へ連絡・必要書類の依頼</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受理後3営業日以内</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紹介管理台帳</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S6</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必要書類の受領・書類選考</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書類受領後5営業日以内</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応募書類</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S7</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面接の実施</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採用戦略部・拠点</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書類選考通過後</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面接記録</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S8</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採否決定・採用条件の提示</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拠点採用担当者</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面接後5営業日以内</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条件通知</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S9</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入社日確定・入社手続</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拠点採用担当者</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本人合意後</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雇用契約書</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S10</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ポイントの付与・確定</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採用戦略部（内山）</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入社日の属する月内</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ポイント管理台帳</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S11</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試用期間満了・本採用の確認</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人事管理部（坂本）</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入社日から3か月</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本採用記録</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S12</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紹介インセンティブの申請</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紹介者</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本採用日から1か月以内</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支給申請書</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S13</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支給要件の確認・給与連携</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人事管理部（坂本）</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毎月20日締め</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支給申請書、台帳</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S14</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インセンティブの支給</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翌月又は翌々月5日</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給与明細</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S15</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最終ポイント・順位の確定</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採用戦略部（内山）</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対象者の採否確定後</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ポイント管理台帳</w:t>
            </w:r>
          </w:p>
        </w:tc>
      </w:tr>
      <w:tr>
        <w:tc>
          <w:tcPr>
            <w:tcW w:type="dxa" w:w="7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S16</w:t>
            </w:r>
          </w:p>
        </w:tc>
        <w:tc>
          <w:tcPr>
            <w:tcW w:type="dxa" w:w="2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表彰・賞金の支給</w:t>
            </w:r>
          </w:p>
        </w:tc>
        <w:tc>
          <w:tcPr>
            <w:tcW w:type="dxa" w:w="21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人事管理部・採用戦略部</w:t>
            </w:r>
          </w:p>
        </w:tc>
        <w:tc>
          <w:tcPr>
            <w:tcW w:type="dxa" w:w="19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順位確定後の給与支給日</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表彰記録、給与明細</w:t>
            </w:r>
          </w:p>
        </w:tc>
      </w:tr>
    </w:tbl>
    <w:p>
      <w:pPr>
        <w:spacing w:after="40" w:before="80" w:line="280"/>
      </w:pPr>
      <w:r>
        <w:rPr>
          <w:rFonts w:ascii="游ゴシック" w:cs="游ゴシック" w:eastAsia="游ゴシック" w:hAnsi="游ゴシック"/>
          <w:b w:val="false"/>
          <w:bCs w:val="false"/>
          <w:i/>
          <w:iCs/>
          <w:color w:val="3F4756"/>
          <w:sz w:val="17"/>
          <w:szCs w:val="17"/>
        </w:rPr>
        <w:t xml:space="preserve">※ S3からS8までの各期限は運用上の目安であり、被紹介者の都合、募集状況等により前後する場合がある。</w:t>
      </w:r>
    </w:p>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7. </w:t>
      </w:r>
      <w:r>
        <w:rPr>
          <w:rFonts w:ascii="游ゴシック" w:cs="游ゴシック" w:eastAsia="游ゴシック" w:hAnsi="游ゴシック"/>
          <w:b/>
          <w:bCs/>
          <w:i w:val="false"/>
          <w:iCs w:val="false"/>
          <w:color w:val="16304F"/>
          <w:sz w:val="24"/>
          <w:szCs w:val="24"/>
        </w:rPr>
        <w:t xml:space="preserve">制度の周知（S1）</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人事採用戦略部は、施行日までに全拠点へ制度案内及び「紹介できる人 早見表」を配布し、掲示・社内メール・朝礼等により周知する。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周知に際しては、対象部門がPAXのみであること、対象拠点が3拠点であること、被紹介者本人の同意が必須であること、本人が直接応募する前に紹介フォームを提出する必要があることを特に明示する。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問い合わせ窓口一覧（第16項）を併せて周知し、担当窓口へ直接問い合わせる運用とする。</w:t>
      </w:r>
    </w:p>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8. </w:t>
      </w:r>
      <w:r>
        <w:rPr>
          <w:rFonts w:ascii="游ゴシック" w:cs="游ゴシック" w:eastAsia="游ゴシック" w:hAnsi="游ゴシック"/>
          <w:b/>
          <w:bCs/>
          <w:i w:val="false"/>
          <w:iCs w:val="false"/>
          <w:color w:val="16304F"/>
          <w:sz w:val="24"/>
          <w:szCs w:val="24"/>
        </w:rPr>
        <w:t xml:space="preserve">紹介フォームの受付・受理（S2・S3）</w:t>
      </w:r>
    </w:p>
    <w:p>
      <w:pPr>
        <w:keepNext/>
        <w:spacing w:after="80" w:before="180"/>
      </w:pPr>
      <w:r>
        <w:rPr>
          <w:rFonts w:ascii="游ゴシック" w:cs="游ゴシック" w:eastAsia="游ゴシック" w:hAnsi="游ゴシック"/>
          <w:b/>
          <w:bCs/>
          <w:i w:val="false"/>
          <w:iCs w:val="false"/>
          <w:color w:val="16304F"/>
          <w:sz w:val="21"/>
          <w:szCs w:val="21"/>
        </w:rPr>
        <w:t xml:space="preserve">（1）受付の起点</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紹介者は、被紹介者本人の応募意思及び紹介への同意を得たうえで、所定の紹介フォームを人事採用戦略部へ提出する。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紹介フォームは、原則として被紹介者本人がFMGへ直接応募する前に提出するものとし、提出時点で本人による直接応募が既に行われている場合は、原則として対象外とする。</w:t>
      </w:r>
    </w:p>
    <w:p>
      <w:pPr>
        <w:keepNext/>
        <w:spacing w:after="80" w:before="180"/>
      </w:pPr>
      <w:r>
        <w:rPr>
          <w:rFonts w:ascii="游ゴシック" w:cs="游ゴシック" w:eastAsia="游ゴシック" w:hAnsi="游ゴシック"/>
          <w:b/>
          <w:bCs/>
          <w:i w:val="false"/>
          <w:iCs w:val="false"/>
          <w:color w:val="16304F"/>
          <w:sz w:val="21"/>
          <w:szCs w:val="21"/>
        </w:rPr>
        <w:t xml:space="preserve">（2）受理と受付日時の記録</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人事採用戦略部（野澤）は、必須項目を確認し、不備がない場合は紹介管理台帳へ登録する。この登録をもって「受理」とし、登録日時を「受付日時」として記録する。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受付日時は重複紹介時の優先順位判定の基準となるため、日付のみでなく時刻まで記録する。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必須項目に不備がある場合は、3営業日以内に紹介者へ差し戻す。補正のうえ再提出された場合は、再提出を受領した日時を受付日時とする。</w:t>
      </w:r>
    </w:p>
    <w:p>
      <w:pPr>
        <w:keepNext/>
        <w:spacing w:after="80" w:before="180"/>
      </w:pPr>
      <w:r>
        <w:rPr>
          <w:rFonts w:ascii="游ゴシック" w:cs="游ゴシック" w:eastAsia="游ゴシック" w:hAnsi="游ゴシック"/>
          <w:b/>
          <w:bCs/>
          <w:i w:val="false"/>
          <w:iCs w:val="false"/>
          <w:color w:val="16304F"/>
          <w:sz w:val="21"/>
          <w:szCs w:val="21"/>
        </w:rPr>
        <w:t xml:space="preserve">（3）紹介フォームの必須項目</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1500"/>
        <w:gridCol w:w="7526"/>
      </w:tblGrid>
      <w:tr>
        <w:tc>
          <w:tcPr>
            <w:tcW w:type="dxa" w:w="15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紹介者</w:t>
            </w:r>
          </w:p>
        </w:tc>
        <w:tc>
          <w:tcPr>
            <w:tcW w:type="dxa" w:w="7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氏名、社員番号、所属拠点・部門、連絡先</w:t>
            </w:r>
          </w:p>
        </w:tc>
      </w:tr>
      <w:tr>
        <w:tc>
          <w:tcPr>
            <w:tcW w:type="dxa" w:w="15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被紹介者</w:t>
            </w:r>
          </w:p>
        </w:tc>
        <w:tc>
          <w:tcPr>
            <w:tcW w:type="dxa" w:w="7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氏名（フリガナ）、連絡先（電話・メール）、希望拠点、希望雇用形態・勤務時間</w:t>
            </w:r>
          </w:p>
        </w:tc>
      </w:tr>
      <w:tr>
        <w:tc>
          <w:tcPr>
            <w:tcW w:type="dxa" w:w="15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経験内容</w:t>
            </w:r>
          </w:p>
        </w:tc>
        <w:tc>
          <w:tcPr>
            <w:tcW w:type="dxa" w:w="7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空港旅客ハンドリング業務の経験年数、経験のある業務（DC／GC／AS／SVの別）、直近の勤務先・在籍期間</w:t>
            </w:r>
          </w:p>
        </w:tc>
      </w:tr>
      <w:tr>
        <w:tc>
          <w:tcPr>
            <w:tcW w:type="dxa" w:w="1500"/>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同意等</w:t>
            </w:r>
          </w:p>
        </w:tc>
        <w:tc>
          <w:tcPr>
            <w:tcW w:type="dxa" w:w="75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被紹介者本人の応募意思の有無、紹介についての同意の有無、応募歴の有無</w:t>
            </w:r>
          </w:p>
        </w:tc>
      </w:tr>
    </w:tbl>
    <w:p>
      <w:pPr>
        <w:spacing w:after="100"/>
      </w:pPr>
      <w:r>
        <w:rPr>
          <w:rFonts w:ascii="游ゴシック" w:cs="游ゴシック" w:eastAsia="游ゴシック" w:hAnsi="游ゴシック"/>
          <w:b w:val="false"/>
          <w:bCs w:val="false"/>
          <w:i w:val="false"/>
          <w:iCs w:val="false"/>
          <w:color w:val="3F4756"/>
          <w:sz w:val="21"/>
          <w:szCs w:val="21"/>
        </w:rPr>
        <w:t xml:space="preserve"/>
      </w:r>
    </w:p>
    <w:p>
      <w:pPr>
        <w:keepNext/>
        <w:spacing w:after="80" w:before="180"/>
      </w:pPr>
      <w:r>
        <w:rPr>
          <w:rFonts w:ascii="游ゴシック" w:cs="游ゴシック" w:eastAsia="游ゴシック" w:hAnsi="游ゴシック"/>
          <w:b/>
          <w:bCs/>
          <w:i w:val="false"/>
          <w:iCs w:val="false"/>
          <w:color w:val="16304F"/>
          <w:sz w:val="21"/>
          <w:szCs w:val="21"/>
        </w:rPr>
        <w:t xml:space="preserve">（4）受理判定チェック</w:t>
      </w:r>
    </w:p>
    <w:p>
      <w:pPr>
        <w:spacing w:after="120" w:before="0" w:line="300"/>
      </w:pPr>
      <w:r>
        <w:rPr>
          <w:rFonts w:ascii="游ゴシック" w:cs="游ゴシック" w:eastAsia="游ゴシック" w:hAnsi="游ゴシック"/>
          <w:b w:val="false"/>
          <w:bCs w:val="false"/>
          <w:i w:val="false"/>
          <w:iCs w:val="false"/>
          <w:color w:val="3F4756"/>
          <w:sz w:val="21"/>
          <w:szCs w:val="21"/>
        </w:rPr>
        <w:t xml:space="preserve">受理にあたり、次の各項目をすべて確認する。1項目でも該当しない場合は受理せず、理由を付して紹介者へ連絡する。</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566"/>
        <w:gridCol w:w="5460"/>
        <w:gridCol w:w="3000"/>
      </w:tblGrid>
      <w:tr>
        <w:trPr>
          <w:tblHeader/>
        </w:trPr>
        <w:tc>
          <w:tcPr>
            <w:tcW w:type="dxa" w:w="566"/>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No</w:t>
            </w:r>
          </w:p>
        </w:tc>
        <w:tc>
          <w:tcPr>
            <w:tcW w:type="dxa" w:w="546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確認事項</w:t>
            </w:r>
          </w:p>
        </w:tc>
        <w:tc>
          <w:tcPr>
            <w:tcW w:type="dxa" w:w="30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不該当時の取扱い</w:t>
            </w:r>
          </w:p>
        </w:tc>
      </w:tr>
      <w:tr>
        <w:tc>
          <w:tcPr>
            <w:tcW w:type="dxa" w:w="56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1</w:t>
            </w:r>
          </w:p>
        </w:tc>
        <w:tc>
          <w:tcPr>
            <w:tcW w:type="dxa" w:w="546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実施期間内の提出であること</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対象外（期間外）</w:t>
            </w:r>
          </w:p>
        </w:tc>
      </w:tr>
      <w:tr>
        <w:tc>
          <w:tcPr>
            <w:tcW w:type="dxa" w:w="56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2</w:t>
            </w:r>
          </w:p>
        </w:tc>
        <w:tc>
          <w:tcPr>
            <w:tcW w:type="dxa" w:w="546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希望拠点がNRT・CTS・KIXのいずれかであること</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対象外</w:t>
            </w:r>
          </w:p>
        </w:tc>
      </w:tr>
      <w:tr>
        <w:tc>
          <w:tcPr>
            <w:tcW w:type="dxa" w:w="56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3</w:t>
            </w:r>
          </w:p>
        </w:tc>
        <w:tc>
          <w:tcPr>
            <w:tcW w:type="dxa" w:w="546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希望部門がPAXであること（RAMP・OPS・WB等でない）</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対象外</w:t>
            </w:r>
          </w:p>
        </w:tc>
      </w:tr>
      <w:tr>
        <w:tc>
          <w:tcPr>
            <w:tcW w:type="dxa" w:w="56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4</w:t>
            </w:r>
          </w:p>
        </w:tc>
        <w:tc>
          <w:tcPr>
            <w:tcW w:type="dxa" w:w="546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PAX実務経験1年以上、又は1年未満でもDC・GC・AS・SVのいずれかの経験を有すること</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対象外（未経験者を含む）</w:t>
            </w:r>
          </w:p>
        </w:tc>
      </w:tr>
      <w:tr>
        <w:tc>
          <w:tcPr>
            <w:tcW w:type="dxa" w:w="56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5</w:t>
            </w:r>
          </w:p>
        </w:tc>
        <w:tc>
          <w:tcPr>
            <w:tcW w:type="dxa" w:w="546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被紹介者本人の応募意思及び紹介への同意があること</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同意取得後に再提出を依頼</w:t>
            </w:r>
          </w:p>
        </w:tc>
      </w:tr>
      <w:tr>
        <w:tc>
          <w:tcPr>
            <w:tcW w:type="dxa" w:w="56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6</w:t>
            </w:r>
          </w:p>
        </w:tc>
        <w:tc>
          <w:tcPr>
            <w:tcW w:type="dxa" w:w="546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紹介者が制度規程第4条の対象者であること（採用業務を直接担当する社員でない）</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対象外</w:t>
            </w:r>
          </w:p>
        </w:tc>
      </w:tr>
      <w:tr>
        <w:tc>
          <w:tcPr>
            <w:tcW w:type="dxa" w:w="56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7</w:t>
            </w:r>
          </w:p>
        </w:tc>
        <w:tc>
          <w:tcPr>
            <w:tcW w:type="dxa" w:w="546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被紹介者による直接応募が先行していないこと</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原則対象外（第9項の判断へ）</w:t>
            </w:r>
          </w:p>
        </w:tc>
      </w:tr>
      <w:tr>
        <w:tc>
          <w:tcPr>
            <w:tcW w:type="dxa" w:w="56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8</w:t>
            </w:r>
          </w:p>
        </w:tc>
        <w:tc>
          <w:tcPr>
            <w:tcW w:type="dxa" w:w="546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同一被紹介者について先行する紹介がないこと</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先着の紹介者を正式な紹介者とする</w:t>
            </w:r>
          </w:p>
        </w:tc>
      </w:tr>
    </w:tbl>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9. </w:t>
      </w:r>
      <w:r>
        <w:rPr>
          <w:rFonts w:ascii="游ゴシック" w:cs="游ゴシック" w:eastAsia="游ゴシック" w:hAnsi="游ゴシック"/>
          <w:b/>
          <w:bCs/>
          <w:i w:val="false"/>
          <w:iCs w:val="false"/>
          <w:color w:val="16304F"/>
          <w:sz w:val="24"/>
          <w:szCs w:val="24"/>
        </w:rPr>
        <w:t xml:space="preserve">重複紹介・既応募者の取扱い（S3）</w:t>
      </w:r>
    </w:p>
    <w:p>
      <w:pPr>
        <w:keepNext/>
        <w:spacing w:after="80" w:before="180"/>
      </w:pPr>
      <w:r>
        <w:rPr>
          <w:rFonts w:ascii="游ゴシック" w:cs="游ゴシック" w:eastAsia="游ゴシック" w:hAnsi="游ゴシック"/>
          <w:b/>
          <w:bCs/>
          <w:i w:val="false"/>
          <w:iCs w:val="false"/>
          <w:color w:val="16304F"/>
          <w:sz w:val="21"/>
          <w:szCs w:val="21"/>
        </w:rPr>
        <w:t xml:space="preserve">（1）重複紹介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同一の被紹介者について複数の紹介があった場合は、紹介管理台帳の受付日時が最も早い紹介者を正式な紹介者とする。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同一人物の判定は、氏名（フリガナ）、生年月日及び電話番号又はメールアドレスの一致により行う。判定に疑義がある場合は被紹介者本人へ確認する。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後発の紹介者に対しては、既に他の社員からの紹介を受理済みである旨を速やかに連絡する。この際、先行紹介者の氏名は開示しない。</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受理後の紹介者の変更は、原則として認めない。</w:t>
      </w:r>
    </w:p>
    <w:p>
      <w:pPr>
        <w:keepNext/>
        <w:spacing w:after="80" w:before="180"/>
      </w:pPr>
      <w:r>
        <w:rPr>
          <w:rFonts w:ascii="游ゴシック" w:cs="游ゴシック" w:eastAsia="游ゴシック" w:hAnsi="游ゴシック"/>
          <w:b/>
          <w:bCs/>
          <w:i w:val="false"/>
          <w:iCs w:val="false"/>
          <w:color w:val="16304F"/>
          <w:sz w:val="21"/>
          <w:szCs w:val="21"/>
        </w:rPr>
        <w:t xml:space="preserve">（2）既応募者・過去応募者</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人事採用戦略部は、受理判定にあたり、求人媒体及び採用ホームページ等からの応募履歴を照合する。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紹介フォーム提出時点で直接応募済みかつ選考中の者は、本制度の対象外とする。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過去に応募歴があり、その選考が既に終了している者については、経過期間、前回の選考結果等を確認のうえ、人事採用戦略部が対象可否を判断する。判断結果及びその理由は紹介管理台帳に記録する。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元FMG社員も紹介対象とすることができる。再雇用の可否は、退職理由、過去の勤務状況等を確認のうえ、通常の採用基準に基づき判断する。</w:t>
      </w:r>
    </w:p>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10. </w:t>
      </w:r>
      <w:r>
        <w:rPr>
          <w:rFonts w:ascii="游ゴシック" w:cs="游ゴシック" w:eastAsia="游ゴシック" w:hAnsi="游ゴシック"/>
          <w:b/>
          <w:bCs/>
          <w:i w:val="false"/>
          <w:iCs w:val="false"/>
          <w:color w:val="16304F"/>
          <w:sz w:val="24"/>
          <w:szCs w:val="24"/>
        </w:rPr>
        <w:t xml:space="preserve">連絡・選考・採用条件の決定（S5〜S9）</w:t>
      </w:r>
    </w:p>
    <w:p>
      <w:pPr>
        <w:keepNext/>
        <w:spacing w:after="80" w:before="180"/>
      </w:pPr>
      <w:r>
        <w:rPr>
          <w:rFonts w:ascii="游ゴシック" w:cs="游ゴシック" w:eastAsia="游ゴシック" w:hAnsi="游ゴシック"/>
          <w:b/>
          <w:bCs/>
          <w:i w:val="false"/>
          <w:iCs w:val="false"/>
          <w:color w:val="16304F"/>
          <w:sz w:val="21"/>
          <w:szCs w:val="21"/>
        </w:rPr>
        <w:t xml:space="preserve">（1）被紹介者への連絡・書類回収</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受理後、人事採用戦略部（野澤）から被紹介者本人へ直接連絡し、履歴書・職務経歴書その他必要書類の提出を依頼する。連絡は原則として受理後3営業日以内に行う。</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連絡が取れない場合は、日を改めて2回まで連絡を試み、それでも連絡が取れない場合は紹介者へその旨を連絡し、台帳に「連絡不能」として記録する。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必要書類の提出期限は、依頼日から2週間を目安とする。</w:t>
      </w:r>
    </w:p>
    <w:p>
      <w:pPr>
        <w:keepNext/>
        <w:spacing w:after="80" w:before="180"/>
      </w:pPr>
      <w:r>
        <w:rPr>
          <w:rFonts w:ascii="游ゴシック" w:cs="游ゴシック" w:eastAsia="游ゴシック" w:hAnsi="游ゴシック"/>
          <w:b/>
          <w:bCs/>
          <w:i w:val="false"/>
          <w:iCs w:val="false"/>
          <w:color w:val="16304F"/>
          <w:sz w:val="21"/>
          <w:szCs w:val="21"/>
        </w:rPr>
        <w:t xml:space="preserve">（2）選考</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選考は、通常の採用選考と同一の基準・手順により実施する。社員からの紹介であることを理由とした採用上の優遇は行わない。</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紹介者は採否判断に関与させない。紹介者が被紹介者の面接官となることのないよう、面接担当者を選定する。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経験要件を満たすことは紹介の要件であり、採用を保証するものではない。最終的な採否は面接その他の選考を通じて総合的に判断する。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選考状況及び採否結果は、人事採用戦略部と被紹介者本人との間で直接やり取りする。紹介者に対しては、選考の進捗、面接内容、個別の採否理由その他の選考情報を開示しない。</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紹介者へは、インセンティブ及びポイントの取扱いに必要な範囲（入社の有無、本採用の有無）に限り連絡する。</w:t>
      </w:r>
    </w:p>
    <w:p>
      <w:pPr>
        <w:keepNext/>
        <w:spacing w:after="80" w:before="180"/>
      </w:pPr>
      <w:r>
        <w:rPr>
          <w:rFonts w:ascii="游ゴシック" w:cs="游ゴシック" w:eastAsia="游ゴシック" w:hAnsi="游ゴシック"/>
          <w:b/>
          <w:bCs/>
          <w:i w:val="false"/>
          <w:iCs w:val="false"/>
          <w:color w:val="16304F"/>
          <w:sz w:val="21"/>
          <w:szCs w:val="21"/>
        </w:rPr>
        <w:t xml:space="preserve">（3）採用条件の決定・入社手続</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雇用形態、勤務時間、時給その他の採用条件は、本人の希望、募集状況、保有資格、実務経験、担当可能業務等を総合的に勘案し、拠点採用担当者が会社の採用基準に基づき決定する。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短時間勤務者の時給は、別途定める「短時間勤務者 時給決定基準」に基づき決定する。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拠点採用担当者は、入社日、雇用区分及び週所定労働時間が確定した時点で、人事採用戦略部へ連絡する。</w:t>
      </w:r>
    </w:p>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11. </w:t>
      </w:r>
      <w:r>
        <w:rPr>
          <w:rFonts w:ascii="游ゴシック" w:cs="游ゴシック" w:eastAsia="游ゴシック" w:hAnsi="游ゴシック"/>
          <w:b/>
          <w:bCs/>
          <w:i w:val="false"/>
          <w:iCs w:val="false"/>
          <w:color w:val="16304F"/>
          <w:sz w:val="24"/>
          <w:szCs w:val="24"/>
        </w:rPr>
        <w:t xml:space="preserve">ポイントの付与・確定（S10）</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ポイントは、被紹介者が実際に入社した時点で紹介者へ付与し、入社日をもって確定する。内定のみでは付与せず、内定後の入社辞退の場合も付与しない。</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ポイント区分は、入社日時点の雇用契約内容（週所定労働時間）に基づいて判定する。判定の証跡として雇用契約書の該当箇所を確認し、確認日及び確認者を台帳に記録する。</w:t>
      </w:r>
    </w:p>
    <w:p>
      <w:pPr>
        <w:spacing w:after="60"/>
      </w:pPr>
      <w:r>
        <w:rPr>
          <w:rFonts w:ascii="游ゴシック" w:cs="游ゴシック" w:eastAsia="游ゴシック" w:hAnsi="游ゴシック"/>
          <w:b w:val="false"/>
          <w:bCs w:val="false"/>
          <w:i w:val="false"/>
          <w:iCs w:val="false"/>
          <w:color w:val="3F4756"/>
          <w:sz w:val="21"/>
          <w:szCs w:val="21"/>
        </w:rPr>
        <w:t xml:space="preserve"/>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4226"/>
        <w:gridCol w:w="1800"/>
        <w:gridCol w:w="3000"/>
      </w:tblGrid>
      <w:tr>
        <w:trPr>
          <w:tblHeader/>
        </w:trPr>
        <w:tc>
          <w:tcPr>
            <w:tcW w:type="dxa" w:w="4226"/>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入社時の採用区分</w:t>
            </w:r>
          </w:p>
        </w:tc>
        <w:tc>
          <w:tcPr>
            <w:tcW w:type="dxa" w:w="18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ポイント</w:t>
            </w:r>
          </w:p>
        </w:tc>
        <w:tc>
          <w:tcPr>
            <w:tcW w:type="dxa" w:w="30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判定資料</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短時間勤務パート（週20時間未満）</w:t>
            </w:r>
          </w:p>
        </w:tc>
        <w:tc>
          <w:tcPr>
            <w:tcW w:type="dxa" w:w="18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3ポイント</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雇用契約書の週所定労働時間</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正社員・契約社員・長時間勤務パート等</w:t>
            </w:r>
          </w:p>
        </w:tc>
        <w:tc>
          <w:tcPr>
            <w:tcW w:type="dxa" w:w="18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1ポイント</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雇用契約書の雇用区分</w:t>
            </w:r>
          </w:p>
        </w:tc>
      </w:tr>
    </w:tbl>
    <w:p>
      <w:pPr>
        <w:spacing w:after="100"/>
      </w:pPr>
      <w:r>
        <w:rPr>
          <w:rFonts w:ascii="游ゴシック" w:cs="游ゴシック" w:eastAsia="游ゴシック" w:hAnsi="游ゴシック"/>
          <w:b w:val="false"/>
          <w:bCs w:val="false"/>
          <w:i w:val="false"/>
          <w:iCs w:val="false"/>
          <w:color w:val="3F4756"/>
          <w:sz w:val="21"/>
          <w:szCs w:val="21"/>
        </w:rPr>
        <w:t xml:space="preserve"/>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入社後に雇用区分又は勤務時間が変更された場合であっても、確定済みポイントは原則として変更しない。</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人事採用戦略部（内山）は、入社日の属する月内にポイント管理台帳へ登録する。</w:t>
      </w:r>
    </w:p>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12. </w:t>
      </w:r>
      <w:r>
        <w:rPr>
          <w:rFonts w:ascii="游ゴシック" w:cs="游ゴシック" w:eastAsia="游ゴシック" w:hAnsi="游ゴシック"/>
          <w:b/>
          <w:bCs/>
          <w:i w:val="false"/>
          <w:iCs w:val="false"/>
          <w:color w:val="16304F"/>
          <w:sz w:val="24"/>
          <w:szCs w:val="24"/>
        </w:rPr>
        <w:t xml:space="preserve">紹介インセンティブの申請・支給（S11〜S14）</w:t>
      </w:r>
    </w:p>
    <w:p>
      <w:pPr>
        <w:keepNext/>
        <w:spacing w:after="80" w:before="180"/>
      </w:pPr>
      <w:r>
        <w:rPr>
          <w:rFonts w:ascii="游ゴシック" w:cs="游ゴシック" w:eastAsia="游ゴシック" w:hAnsi="游ゴシック"/>
          <w:b/>
          <w:bCs/>
          <w:i w:val="false"/>
          <w:iCs w:val="false"/>
          <w:color w:val="16304F"/>
          <w:sz w:val="21"/>
          <w:szCs w:val="21"/>
        </w:rPr>
        <w:t xml:space="preserve">（1）本採用の確認</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人事管理部（坂本）は、被紹介者の試用期間3か月の満了及び本採用の可否を確認し、人事採用戦略部へ連絡する。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人事採用戦略部は、本採用となった旨を紹介者へ連絡し、申請期限（本採用日から1か月以内）を案内する。</w:t>
      </w:r>
    </w:p>
    <w:p>
      <w:pPr>
        <w:keepNext/>
        <w:spacing w:after="80" w:before="180"/>
      </w:pPr>
      <w:r>
        <w:rPr>
          <w:rFonts w:ascii="游ゴシック" w:cs="游ゴシック" w:eastAsia="游ゴシック" w:hAnsi="游ゴシック"/>
          <w:b/>
          <w:bCs/>
          <w:i w:val="false"/>
          <w:iCs w:val="false"/>
          <w:color w:val="16304F"/>
          <w:sz w:val="21"/>
          <w:szCs w:val="21"/>
        </w:rPr>
        <w:t xml:space="preserve">（2）申請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紹介インセンティブは紹介者本人による申請制とする。紹介者は所定の「紹介インセンティブ支給申請書」を人事管理部（坂本）へ提出する。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申請期限は、被紹介者の本採用日から1か月以内とする。期限までに申請がない場合は受給資格を失う。</w:t>
      </w:r>
    </w:p>
    <w:p>
      <w:pPr>
        <w:keepNext/>
        <w:spacing w:after="80" w:before="180"/>
      </w:pPr>
      <w:r>
        <w:rPr>
          <w:rFonts w:ascii="游ゴシック" w:cs="游ゴシック" w:eastAsia="游ゴシック" w:hAnsi="游ゴシック"/>
          <w:b/>
          <w:bCs/>
          <w:i w:val="false"/>
          <w:iCs w:val="false"/>
          <w:color w:val="16304F"/>
          <w:sz w:val="21"/>
          <w:szCs w:val="21"/>
        </w:rPr>
        <w:t xml:space="preserve">（3）支給要件の確認</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566"/>
        <w:gridCol w:w="5460"/>
        <w:gridCol w:w="3000"/>
      </w:tblGrid>
      <w:tr>
        <w:trPr>
          <w:tblHeader/>
        </w:trPr>
        <w:tc>
          <w:tcPr>
            <w:tcW w:type="dxa" w:w="566"/>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No</w:t>
            </w:r>
          </w:p>
        </w:tc>
        <w:tc>
          <w:tcPr>
            <w:tcW w:type="dxa" w:w="546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確認事項</w:t>
            </w:r>
          </w:p>
        </w:tc>
        <w:tc>
          <w:tcPr>
            <w:tcW w:type="dxa" w:w="30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確認方法</w:t>
            </w:r>
          </w:p>
        </w:tc>
      </w:tr>
      <w:tr>
        <w:tc>
          <w:tcPr>
            <w:tcW w:type="dxa" w:w="56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1</w:t>
            </w:r>
          </w:p>
        </w:tc>
        <w:tc>
          <w:tcPr>
            <w:tcW w:type="dxa" w:w="546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紹介フォームが被紹介者の応募前に正式に受理されていること</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紹介管理台帳の受付日時</w:t>
            </w:r>
          </w:p>
        </w:tc>
      </w:tr>
      <w:tr>
        <w:tc>
          <w:tcPr>
            <w:tcW w:type="dxa" w:w="56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2</w:t>
            </w:r>
          </w:p>
        </w:tc>
        <w:tc>
          <w:tcPr>
            <w:tcW w:type="dxa" w:w="546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被紹介者がFMGへ入社していること</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雇用契約書・入社記録</w:t>
            </w:r>
          </w:p>
        </w:tc>
      </w:tr>
      <w:tr>
        <w:tc>
          <w:tcPr>
            <w:tcW w:type="dxa" w:w="56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3</w:t>
            </w:r>
          </w:p>
        </w:tc>
        <w:tc>
          <w:tcPr>
            <w:tcW w:type="dxa" w:w="546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被紹介者が試用期間3か月を満了していること</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入社日からの経過確認</w:t>
            </w:r>
          </w:p>
        </w:tc>
      </w:tr>
      <w:tr>
        <w:tc>
          <w:tcPr>
            <w:tcW w:type="dxa" w:w="56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4</w:t>
            </w:r>
          </w:p>
        </w:tc>
        <w:tc>
          <w:tcPr>
            <w:tcW w:type="dxa" w:w="546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被紹介者が本採用となっていること</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本採用記録</w:t>
            </w:r>
          </w:p>
        </w:tc>
      </w:tr>
      <w:tr>
        <w:tc>
          <w:tcPr>
            <w:tcW w:type="dxa" w:w="56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5</w:t>
            </w:r>
          </w:p>
        </w:tc>
        <w:tc>
          <w:tcPr>
            <w:tcW w:type="dxa" w:w="546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被紹介者が支給日にFMGに在籍していること</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在籍確認（支給処理時）</w:t>
            </w:r>
          </w:p>
        </w:tc>
      </w:tr>
      <w:tr>
        <w:tc>
          <w:tcPr>
            <w:tcW w:type="dxa" w:w="56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6</w:t>
            </w:r>
          </w:p>
        </w:tc>
        <w:tc>
          <w:tcPr>
            <w:tcW w:type="dxa" w:w="546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紹介者が支給日にFMGに在籍していること</w:t>
            </w:r>
          </w:p>
        </w:tc>
        <w:tc>
          <w:tcPr>
            <w:tcW w:type="dxa" w:w="3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在籍確認（支給処理時）</w:t>
            </w:r>
          </w:p>
        </w:tc>
      </w:tr>
    </w:tbl>
    <w:p>
      <w:pPr>
        <w:spacing w:after="100"/>
      </w:pPr>
      <w:r>
        <w:rPr>
          <w:rFonts w:ascii="游ゴシック" w:cs="游ゴシック" w:eastAsia="游ゴシック" w:hAnsi="游ゴシック"/>
          <w:b w:val="false"/>
          <w:bCs w:val="false"/>
          <w:i w:val="false"/>
          <w:iCs w:val="false"/>
          <w:color w:val="3F4756"/>
          <w:sz w:val="21"/>
          <w:szCs w:val="21"/>
        </w:rPr>
        <w:t xml:space="preserve"/>
      </w:r>
    </w:p>
    <w:p>
      <w:pPr>
        <w:keepNext/>
        <w:spacing w:after="80" w:before="180"/>
      </w:pPr>
      <w:r>
        <w:rPr>
          <w:rFonts w:ascii="游ゴシック" w:cs="游ゴシック" w:eastAsia="游ゴシック" w:hAnsi="游ゴシック"/>
          <w:b/>
          <w:bCs/>
          <w:i w:val="false"/>
          <w:iCs w:val="false"/>
          <w:color w:val="16304F"/>
          <w:sz w:val="21"/>
          <w:szCs w:val="21"/>
        </w:rPr>
        <w:t xml:space="preserve">（4）支給</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4513"/>
        <w:gridCol w:w="4513"/>
      </w:tblGrid>
      <w:tr>
        <w:trPr>
          <w:tblHeader/>
        </w:trPr>
        <w:tc>
          <w:tcPr>
            <w:tcW w:type="dxa" w:w="4513"/>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申請受理の時期</w:t>
            </w:r>
          </w:p>
        </w:tc>
        <w:tc>
          <w:tcPr>
            <w:tcW w:type="dxa" w:w="4513"/>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支給日</w:t>
            </w:r>
          </w:p>
        </w:tc>
      </w:tr>
      <w:tr>
        <w:tc>
          <w:tcPr>
            <w:tcW w:type="dxa" w:w="4513"/>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毎月20日までに受理</w:t>
            </w:r>
          </w:p>
        </w:tc>
        <w:tc>
          <w:tcPr>
            <w:tcW w:type="dxa" w:w="4513"/>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翌月5日の給与支給日（給与と合算）</w:t>
            </w:r>
          </w:p>
        </w:tc>
      </w:tr>
      <w:tr>
        <w:tc>
          <w:tcPr>
            <w:tcW w:type="dxa" w:w="4513"/>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毎月20日を過ぎて受理</w:t>
            </w:r>
          </w:p>
        </w:tc>
        <w:tc>
          <w:tcPr>
            <w:tcW w:type="dxa" w:w="4513"/>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翌々月5日の給与支給日（給与と合算）</w:t>
            </w:r>
          </w:p>
        </w:tc>
      </w:tr>
    </w:tbl>
    <w:p>
      <w:pPr>
        <w:spacing w:after="100"/>
      </w:pPr>
      <w:r>
        <w:rPr>
          <w:rFonts w:ascii="游ゴシック" w:cs="游ゴシック" w:eastAsia="游ゴシック" w:hAnsi="游ゴシック"/>
          <w:b w:val="false"/>
          <w:bCs w:val="false"/>
          <w:i w:val="false"/>
          <w:iCs w:val="false"/>
          <w:color w:val="3F4756"/>
          <w:sz w:val="21"/>
          <w:szCs w:val="21"/>
        </w:rPr>
        <w:t xml:space="preserve"/>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支給額は被紹介者1名につき20,000円とし、雇用形態を問わず一律とする。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人事管理部は、支給処理の直前に紹介者及び被紹介者の在籍状況を再確認する。いずれかが支給日前に退職している場合は支給対象外とし、その旨を紹介者へ連絡する。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支給の可否及び支給日は、紹介管理台帳に記録する。</w:t>
      </w:r>
    </w:p>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13. </w:t>
      </w:r>
      <w:r>
        <w:rPr>
          <w:rFonts w:ascii="游ゴシック" w:cs="游ゴシック" w:eastAsia="游ゴシック" w:hAnsi="游ゴシック"/>
          <w:b/>
          <w:bCs/>
          <w:i w:val="false"/>
          <w:iCs w:val="false"/>
          <w:color w:val="16304F"/>
          <w:sz w:val="24"/>
          <w:szCs w:val="24"/>
        </w:rPr>
        <w:t xml:space="preserve">FMG Referral Challenge の集計・表彰（S15・S16）</w:t>
      </w:r>
    </w:p>
    <w:p>
      <w:pPr>
        <w:keepNext/>
        <w:spacing w:after="80" w:before="180"/>
      </w:pPr>
      <w:r>
        <w:rPr>
          <w:rFonts w:ascii="游ゴシック" w:cs="游ゴシック" w:eastAsia="游ゴシック" w:hAnsi="游ゴシック"/>
          <w:b/>
          <w:bCs/>
          <w:i w:val="false"/>
          <w:iCs w:val="false"/>
          <w:color w:val="16304F"/>
          <w:sz w:val="21"/>
          <w:szCs w:val="21"/>
        </w:rPr>
        <w:t xml:space="preserve">（1）対象と中間集計</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実施期間内に紹介フォームが正式に受理された被紹介者を対象とする。期間終了時点で選考中の被紹介者も、期間内に受理されていれば対象資格を継続する。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人事採用戦略部（内山）は、実施期間中、月1回を目安に中間集計を行い、社内へ共有する。公表にあたっては、被紹介者の個人が特定される情報を含めない。</w:t>
      </w:r>
    </w:p>
    <w:p>
      <w:pPr>
        <w:keepNext/>
        <w:spacing w:after="80" w:before="180"/>
      </w:pPr>
      <w:r>
        <w:rPr>
          <w:rFonts w:ascii="游ゴシック" w:cs="游ゴシック" w:eastAsia="游ゴシック" w:hAnsi="游ゴシック"/>
          <w:b/>
          <w:bCs/>
          <w:i w:val="false"/>
          <w:iCs w:val="false"/>
          <w:color w:val="16304F"/>
          <w:sz w:val="21"/>
          <w:szCs w:val="21"/>
        </w:rPr>
        <w:t xml:space="preserve">（2）最終確定と順位決定</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実施期間内に受理されたすべての被紹介者について、入社又は不採用・辞退等が確定した後、最終ポイント及び順位を確定する。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順位は、確定した累計獲得ポイントにより決定する。同ポイントの場合は、次の順序で判定する。</w:t>
      </w:r>
    </w:p>
    <w:p>
      <w:pPr>
        <w:spacing w:after="60"/>
      </w:pPr>
      <w:r>
        <w:rPr>
          <w:rFonts w:ascii="游ゴシック" w:cs="游ゴシック" w:eastAsia="游ゴシック" w:hAnsi="游ゴシック"/>
          <w:b w:val="false"/>
          <w:bCs w:val="false"/>
          <w:i w:val="false"/>
          <w:iCs w:val="false"/>
          <w:color w:val="3F4756"/>
          <w:sz w:val="21"/>
          <w:szCs w:val="21"/>
        </w:rPr>
        <w:t xml:space="preserve"/>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1200"/>
        <w:gridCol w:w="7826"/>
      </w:tblGrid>
      <w:tr>
        <w:trPr>
          <w:tblHeader/>
        </w:trPr>
        <w:tc>
          <w:tcPr>
            <w:tcW w:type="dxa" w:w="12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判定順</w:t>
            </w:r>
          </w:p>
        </w:tc>
        <w:tc>
          <w:tcPr>
            <w:tcW w:type="dxa" w:w="7826"/>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基準</w:t>
            </w:r>
          </w:p>
        </w:tc>
      </w:tr>
      <w:tr>
        <w:tc>
          <w:tcPr>
            <w:tcW w:type="dxa" w:w="12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第1</w:t>
            </w:r>
          </w:p>
        </w:tc>
        <w:tc>
          <w:tcPr>
            <w:tcW w:type="dxa" w:w="78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累計獲得ポイントが多い者</w:t>
            </w:r>
          </w:p>
        </w:tc>
      </w:tr>
      <w:tr>
        <w:tc>
          <w:tcPr>
            <w:tcW w:type="dxa" w:w="12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第2</w:t>
            </w:r>
          </w:p>
        </w:tc>
        <w:tc>
          <w:tcPr>
            <w:tcW w:type="dxa" w:w="78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入社に至った被紹介者数が多い者</w:t>
            </w:r>
          </w:p>
        </w:tc>
      </w:tr>
      <w:tr>
        <w:tc>
          <w:tcPr>
            <w:tcW w:type="dxa" w:w="12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第3</w:t>
            </w:r>
          </w:p>
        </w:tc>
        <w:tc>
          <w:tcPr>
            <w:tcW w:type="dxa" w:w="78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短時間勤務者の入社人数が多い者</w:t>
            </w:r>
          </w:p>
        </w:tc>
      </w:tr>
      <w:tr>
        <w:tc>
          <w:tcPr>
            <w:tcW w:type="dxa" w:w="1200"/>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第4</w:t>
            </w:r>
          </w:p>
        </w:tc>
        <w:tc>
          <w:tcPr>
            <w:tcW w:type="dxa" w:w="78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ポイント対象となった被紹介者のうち、最初の紹介フォーム受付日時が早い者</w:t>
            </w:r>
          </w:p>
        </w:tc>
      </w:tr>
    </w:tbl>
    <w:p>
      <w:pPr>
        <w:spacing w:after="100"/>
      </w:pPr>
      <w:r>
        <w:rPr>
          <w:rFonts w:ascii="游ゴシック" w:cs="游ゴシック" w:eastAsia="游ゴシック" w:hAnsi="游ゴシック"/>
          <w:b w:val="false"/>
          <w:bCs w:val="false"/>
          <w:i w:val="false"/>
          <w:iCs w:val="false"/>
          <w:color w:val="3F4756"/>
          <w:sz w:val="21"/>
          <w:szCs w:val="21"/>
        </w:rPr>
        <w:t xml:space="preserve"/>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第1位から第3位までを決定する。同順位による賞金の分割・減額は行わない。</w:t>
      </w:r>
    </w:p>
    <w:p>
      <w:pPr>
        <w:keepNext/>
        <w:spacing w:after="80" w:before="180"/>
      </w:pPr>
      <w:r>
        <w:rPr>
          <w:rFonts w:ascii="游ゴシック" w:cs="游ゴシック" w:eastAsia="游ゴシック" w:hAnsi="游ゴシック"/>
          <w:b/>
          <w:bCs/>
          <w:i w:val="false"/>
          <w:iCs w:val="false"/>
          <w:color w:val="16304F"/>
          <w:sz w:val="21"/>
          <w:szCs w:val="21"/>
        </w:rPr>
        <w:t xml:space="preserve">（3）退職発生時の再集計</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ポイント獲得の対象となった被紹介者が賞金支給日前に退職した場合は、当該被紹介者に係るポイントを無効として再集計し、順位を確定する。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複数名の紹介によりポイントを獲得している場合は、退職した被紹介者に係るポイントのみを無効とし、その他の有効なポイントは維持する。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紹介者本人が賞金支給日前に退職した場合は、賞金の受給資格を失う。この場合、次順位者を繰り上げるか否かは人事管理部が判断する。</w:t>
      </w:r>
    </w:p>
    <w:p>
      <w:pPr>
        <w:keepNext/>
        <w:spacing w:after="80" w:before="180"/>
      </w:pPr>
      <w:r>
        <w:rPr>
          <w:rFonts w:ascii="游ゴシック" w:cs="游ゴシック" w:eastAsia="游ゴシック" w:hAnsi="游ゴシック"/>
          <w:b/>
          <w:bCs/>
          <w:i w:val="false"/>
          <w:iCs w:val="false"/>
          <w:color w:val="16304F"/>
          <w:sz w:val="21"/>
          <w:szCs w:val="21"/>
        </w:rPr>
        <w:t xml:space="preserve">（4）表彰・賞金</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4513"/>
        <w:gridCol w:w="4513"/>
      </w:tblGrid>
      <w:tr>
        <w:trPr>
          <w:tblHeader/>
        </w:trPr>
        <w:tc>
          <w:tcPr>
            <w:tcW w:type="dxa" w:w="4513"/>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順位</w:t>
            </w:r>
          </w:p>
        </w:tc>
        <w:tc>
          <w:tcPr>
            <w:tcW w:type="dxa" w:w="4513"/>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賞金</w:t>
            </w:r>
          </w:p>
        </w:tc>
      </w:tr>
      <w:tr>
        <w:tc>
          <w:tcPr>
            <w:tcW w:type="dxa" w:w="4513"/>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第1位</w:t>
            </w:r>
          </w:p>
        </w:tc>
        <w:tc>
          <w:tcPr>
            <w:tcW w:type="dxa" w:w="4513"/>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50,000円</w:t>
            </w:r>
          </w:p>
        </w:tc>
      </w:tr>
      <w:tr>
        <w:tc>
          <w:tcPr>
            <w:tcW w:type="dxa" w:w="4513"/>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第2位</w:t>
            </w:r>
          </w:p>
        </w:tc>
        <w:tc>
          <w:tcPr>
            <w:tcW w:type="dxa" w:w="4513"/>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30,000円</w:t>
            </w:r>
          </w:p>
        </w:tc>
      </w:tr>
      <w:tr>
        <w:tc>
          <w:tcPr>
            <w:tcW w:type="dxa" w:w="4513"/>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第3位</w:t>
            </w:r>
          </w:p>
        </w:tc>
        <w:tc>
          <w:tcPr>
            <w:tcW w:type="dxa" w:w="4513"/>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val="false"/>
                <w:bCs w:val="false"/>
                <w:i w:val="false"/>
                <w:iCs w:val="false"/>
                <w:color w:val="3F4756"/>
                <w:sz w:val="20"/>
                <w:szCs w:val="20"/>
              </w:rPr>
              <w:t xml:space="preserve">20,000円</w:t>
            </w:r>
          </w:p>
        </w:tc>
      </w:tr>
    </w:tbl>
    <w:p>
      <w:pPr>
        <w:spacing w:after="100"/>
      </w:pPr>
      <w:r>
        <w:rPr>
          <w:rFonts w:ascii="游ゴシック" w:cs="游ゴシック" w:eastAsia="游ゴシック" w:hAnsi="游ゴシック"/>
          <w:b w:val="false"/>
          <w:bCs w:val="false"/>
          <w:i w:val="false"/>
          <w:iCs w:val="false"/>
          <w:color w:val="3F4756"/>
          <w:sz w:val="21"/>
          <w:szCs w:val="21"/>
        </w:rPr>
        <w:t xml:space="preserve"/>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賞金は、最終順位確定後、会社が定める給与支給日に給与と合わせて支給する。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人事採用戦略部（内山）は表彰資料を作成し、人事管理部と支給時期を調整のうえ、社内へ結果を通知する。</w:t>
      </w:r>
    </w:p>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14. </w:t>
      </w:r>
      <w:r>
        <w:rPr>
          <w:rFonts w:ascii="游ゴシック" w:cs="游ゴシック" w:eastAsia="游ゴシック" w:hAnsi="游ゴシック"/>
          <w:b/>
          <w:bCs/>
          <w:i w:val="false"/>
          <w:iCs w:val="false"/>
          <w:color w:val="16304F"/>
          <w:sz w:val="24"/>
          <w:szCs w:val="24"/>
        </w:rPr>
        <w:t xml:space="preserve">台帳管理と個人情報の取扱い</w:t>
      </w:r>
    </w:p>
    <w:p>
      <w:pPr>
        <w:keepNext/>
        <w:spacing w:after="80" w:before="180"/>
      </w:pPr>
      <w:r>
        <w:rPr>
          <w:rFonts w:ascii="游ゴシック" w:cs="游ゴシック" w:eastAsia="游ゴシック" w:hAnsi="游ゴシック"/>
          <w:b/>
          <w:bCs/>
          <w:i w:val="false"/>
          <w:iCs w:val="false"/>
          <w:color w:val="16304F"/>
          <w:sz w:val="21"/>
          <w:szCs w:val="21"/>
        </w:rPr>
        <w:t xml:space="preserve">（1）紹介管理台帳</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4226"/>
        <w:gridCol w:w="2400"/>
        <w:gridCol w:w="2400"/>
      </w:tblGrid>
      <w:tr>
        <w:trPr>
          <w:tblHeader/>
        </w:trPr>
        <w:tc>
          <w:tcPr>
            <w:tcW w:type="dxa" w:w="4226"/>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項目</w:t>
            </w:r>
          </w:p>
        </w:tc>
        <w:tc>
          <w:tcPr>
            <w:tcW w:type="dxa" w:w="24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入力担当</w:t>
            </w:r>
          </w:p>
        </w:tc>
        <w:tc>
          <w:tcPr>
            <w:tcW w:type="dxa" w:w="24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入力タイミング</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管理番号／受付日時（年月日・時刻）</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受理時</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紹介者氏名・社員番号・所属</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受理時</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被紹介者氏名・連絡先・希望拠点</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受理時</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経験年数・経験業務（DC／GC／AS／SV）</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受理時</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受理判定結果・不受理理由</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判定時</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重複・既応募照合結果</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判定時</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選考状況（書類・面接・採否）</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各段階完了時</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入社日・雇用区分・週所定労働時間</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拠点からの連絡時</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付与ポイント・確定日</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採用戦略部（内山）</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入社日確定後</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試用期間満了日・本採用可否</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人事管理部（坂本）</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本採用判定時</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インセンティブ申請日・支給日・支給額</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人事管理部（坂本）</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申請受理時・支給時</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退職等による資格喪失の記録</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人事管理部（坂本）</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事象発生時</w:t>
            </w:r>
          </w:p>
        </w:tc>
      </w:tr>
      <w:tr>
        <w:tc>
          <w:tcPr>
            <w:tcW w:type="dxa" w:w="42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備考（イレギュラー対応の経緯）</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各担当</w:t>
            </w:r>
          </w:p>
        </w:tc>
        <w:tc>
          <w:tcPr>
            <w:tcW w:type="dxa" w:w="24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都度</w:t>
            </w:r>
          </w:p>
        </w:tc>
      </w:tr>
    </w:tbl>
    <w:p>
      <w:pPr>
        <w:spacing w:after="100"/>
      </w:pPr>
      <w:r>
        <w:rPr>
          <w:rFonts w:ascii="游ゴシック" w:cs="游ゴシック" w:eastAsia="游ゴシック" w:hAnsi="游ゴシック"/>
          <w:b w:val="false"/>
          <w:bCs w:val="false"/>
          <w:i w:val="false"/>
          <w:iCs w:val="false"/>
          <w:color w:val="3F4756"/>
          <w:sz w:val="21"/>
          <w:szCs w:val="21"/>
        </w:rPr>
        <w:t xml:space="preserve"/>
      </w:r>
    </w:p>
    <w:p>
      <w:pPr>
        <w:keepNext/>
        <w:spacing w:after="80" w:before="180"/>
      </w:pPr>
      <w:r>
        <w:rPr>
          <w:rFonts w:ascii="游ゴシック" w:cs="游ゴシック" w:eastAsia="游ゴシック" w:hAnsi="游ゴシック"/>
          <w:b/>
          <w:bCs/>
          <w:i w:val="false"/>
          <w:iCs w:val="false"/>
          <w:color w:val="16304F"/>
          <w:sz w:val="21"/>
          <w:szCs w:val="21"/>
        </w:rPr>
        <w:t xml:space="preserve">（2）ポイント管理台帳</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人事採用戦略部（内山）は、紹介者氏名、対象被紹介者、入社日、区分、付与ポイント、有効／無効の別、累計ポイントを記録するポイント管理台帳を整備する。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ポイントを無効とした場合は、無効の事由（被紹介者の退職等）及び処理日を併せて記録する。</w:t>
      </w:r>
    </w:p>
    <w:p>
      <w:pPr>
        <w:keepNext/>
        <w:spacing w:after="80" w:before="180"/>
      </w:pPr>
      <w:r>
        <w:rPr>
          <w:rFonts w:ascii="游ゴシック" w:cs="游ゴシック" w:eastAsia="游ゴシック" w:hAnsi="游ゴシック"/>
          <w:b/>
          <w:bCs/>
          <w:i w:val="false"/>
          <w:iCs w:val="false"/>
          <w:color w:val="16304F"/>
          <w:sz w:val="21"/>
          <w:szCs w:val="21"/>
        </w:rPr>
        <w:t xml:space="preserve">（3）個人情報の取扱い</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紹介フォームにより取得する被紹介者の個人情報は、本制度に基づく採用選考及びインセンティブ・ポイントの管理の目的にのみ利用する。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紹介者は、被紹介者本人の同意を得ずに個人情報を紹介フォームへ記載してはならない。同意の有無は受理判定時に必ず確認する。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被紹介者の情報の共有範囲は、人事採用戦略部、人事管理部及び当該拠点の採用担当者に限る。台帳及びその抜粋は、紹介者を含む一般社員へ開示しない。</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採用に至らなかった被紹介者の応募書類等は、会社の定める保管期間の経過後、適切に廃棄する。</w:t>
      </w:r>
    </w:p>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15. </w:t>
      </w:r>
      <w:r>
        <w:rPr>
          <w:rFonts w:ascii="游ゴシック" w:cs="游ゴシック" w:eastAsia="游ゴシック" w:hAnsi="游ゴシック"/>
          <w:b/>
          <w:bCs/>
          <w:i w:val="false"/>
          <w:iCs w:val="false"/>
          <w:color w:val="16304F"/>
          <w:sz w:val="24"/>
          <w:szCs w:val="24"/>
        </w:rPr>
        <w:t xml:space="preserve">イレギュラー対応</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2626"/>
        <w:gridCol w:w="4600"/>
        <w:gridCol w:w="1800"/>
      </w:tblGrid>
      <w:tr>
        <w:trPr>
          <w:tblHeader/>
        </w:trPr>
        <w:tc>
          <w:tcPr>
            <w:tcW w:type="dxa" w:w="2626"/>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事象</w:t>
            </w:r>
          </w:p>
        </w:tc>
        <w:tc>
          <w:tcPr>
            <w:tcW w:type="dxa" w:w="46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取扱い</w:t>
            </w:r>
          </w:p>
        </w:tc>
        <w:tc>
          <w:tcPr>
            <w:tcW w:type="dxa" w:w="18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対応担当</w:t>
            </w:r>
          </w:p>
        </w:tc>
      </w:tr>
      <w:tr>
        <w:tc>
          <w:tcPr>
            <w:tcW w:type="dxa" w:w="2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内定後に被紹介者が入社を辞退した</w:t>
            </w:r>
          </w:p>
        </w:tc>
        <w:tc>
          <w:tcPr>
            <w:tcW w:type="dxa" w:w="4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ポイントは付与しない。インセンティブも対象外。台帳に辞退として記録</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w:t>
            </w:r>
          </w:p>
        </w:tc>
      </w:tr>
      <w:tr>
        <w:tc>
          <w:tcPr>
            <w:tcW w:type="dxa" w:w="2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被紹介者が試用期間満了前に退職した</w:t>
            </w:r>
          </w:p>
        </w:tc>
        <w:tc>
          <w:tcPr>
            <w:tcW w:type="dxa" w:w="4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インセンティブの受給資格を失う。賞金支給日前の退職に該当する場合は当該ポイントを無効として再集計</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人事管理部・採用戦略部</w:t>
            </w:r>
          </w:p>
        </w:tc>
      </w:tr>
      <w:tr>
        <w:tc>
          <w:tcPr>
            <w:tcW w:type="dxa" w:w="2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被紹介者が本採用とならなかった</w:t>
            </w:r>
          </w:p>
        </w:tc>
        <w:tc>
          <w:tcPr>
            <w:tcW w:type="dxa" w:w="4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インセンティブの受給資格を失う。紹介者へ結果のみを連絡（理由は開示しない）</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w:t>
            </w:r>
          </w:p>
        </w:tc>
      </w:tr>
      <w:tr>
        <w:tc>
          <w:tcPr>
            <w:tcW w:type="dxa" w:w="2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紹介者が支給日前に退職した</w:t>
            </w:r>
          </w:p>
        </w:tc>
        <w:tc>
          <w:tcPr>
            <w:tcW w:type="dxa" w:w="4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インセンティブ及び賞金の受給資格を失う</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w:t>
            </w:r>
          </w:p>
        </w:tc>
      </w:tr>
      <w:tr>
        <w:tc>
          <w:tcPr>
            <w:tcW w:type="dxa" w:w="2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被紹介者が賞金支給日前に退職した</w:t>
            </w:r>
          </w:p>
        </w:tc>
        <w:tc>
          <w:tcPr>
            <w:tcW w:type="dxa" w:w="4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当該被紹介者に係るポイントのみを無効とし、他の有効なポイントは維持して再集計</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採用戦略部（内山）</w:t>
            </w:r>
          </w:p>
        </w:tc>
      </w:tr>
      <w:tr>
        <w:tc>
          <w:tcPr>
            <w:tcW w:type="dxa" w:w="2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同一被紹介者について複数の紹介があった</w:t>
            </w:r>
          </w:p>
        </w:tc>
        <w:tc>
          <w:tcPr>
            <w:tcW w:type="dxa" w:w="4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受付日時が最も早い紹介者を正式な紹介者とする。後発の紹介者へ連絡（先行紹介者名は非開示）</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r>
      <w:tr>
        <w:tc>
          <w:tcPr>
            <w:tcW w:type="dxa" w:w="2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紹介フォーム提出前に本人が直接応募していた</w:t>
            </w:r>
          </w:p>
        </w:tc>
        <w:tc>
          <w:tcPr>
            <w:tcW w:type="dxa" w:w="4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原則として対象外。過去応募（選考終了済み）の場合は対象可否を判断</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r>
      <w:tr>
        <w:tc>
          <w:tcPr>
            <w:tcW w:type="dxa" w:w="2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応募済みの者について事後的に紹介フォームが提出された</w:t>
            </w:r>
          </w:p>
        </w:tc>
        <w:tc>
          <w:tcPr>
            <w:tcW w:type="dxa" w:w="4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対象外とし、必要に応じて（2）の手続による</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採用戦略部（野澤）</w:t>
            </w:r>
          </w:p>
        </w:tc>
      </w:tr>
      <w:tr>
        <w:tc>
          <w:tcPr>
            <w:tcW w:type="dxa" w:w="2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実施期間終了時点で選考中</w:t>
            </w:r>
          </w:p>
        </w:tc>
        <w:tc>
          <w:tcPr>
            <w:tcW w:type="dxa" w:w="4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期間内に受理されていれば対象資格を継続。採否確定後に最終集計へ反映</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採用戦略部（内山）</w:t>
            </w:r>
          </w:p>
        </w:tc>
      </w:tr>
      <w:tr>
        <w:tc>
          <w:tcPr>
            <w:tcW w:type="dxa" w:w="2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被紹介者がPAX以外の部門・対象外拠点を希望した</w:t>
            </w:r>
          </w:p>
        </w:tc>
        <w:tc>
          <w:tcPr>
            <w:tcW w:type="dxa" w:w="4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本制度の対象外。採用自体を通常の選考として取り扱うことを妨げない</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採用戦略部・拠点</w:t>
            </w:r>
          </w:p>
        </w:tc>
      </w:tr>
      <w:tr>
        <w:tc>
          <w:tcPr>
            <w:tcW w:type="dxa" w:w="2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申請期限を過ぎて申請書が提出された</w:t>
            </w:r>
          </w:p>
        </w:tc>
        <w:tc>
          <w:tcPr>
            <w:tcW w:type="dxa" w:w="4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受給資格を失う。やむを得ない事情がある場合は人事管理部が個別に判断</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人事管理部（坂本）</w:t>
            </w:r>
          </w:p>
        </w:tc>
      </w:tr>
      <w:tr>
        <w:tc>
          <w:tcPr>
            <w:tcW w:type="dxa" w:w="2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制度の変更・終了が決定した</w:t>
            </w:r>
          </w:p>
        </w:tc>
        <w:tc>
          <w:tcPr>
            <w:tcW w:type="dxa" w:w="4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変更・終了前に正式に受理された紹介には、原則として受付時点の制度内容を適用</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w:t>
            </w:r>
          </w:p>
        </w:tc>
      </w:tr>
    </w:tbl>
    <w:p>
      <w:pPr>
        <w:spacing w:after="100"/>
      </w:pPr>
      <w:r>
        <w:rPr>
          <w:rFonts w:ascii="游ゴシック" w:cs="游ゴシック" w:eastAsia="游ゴシック" w:hAnsi="游ゴシック"/>
          <w:b w:val="false"/>
          <w:bCs w:val="false"/>
          <w:i w:val="false"/>
          <w:iCs w:val="false"/>
          <w:color w:val="3F4756"/>
          <w:sz w:val="21"/>
          <w:szCs w:val="21"/>
        </w:rPr>
        <w:t xml:space="preserve"/>
      </w:r>
    </w:p>
    <w:p>
      <w:pPr>
        <w:keepNext/>
        <w:spacing w:after="80" w:before="180"/>
      </w:pPr>
      <w:r>
        <w:rPr>
          <w:rFonts w:ascii="游ゴシック" w:cs="游ゴシック" w:eastAsia="游ゴシック" w:hAnsi="游ゴシック"/>
          <w:b/>
          <w:bCs/>
          <w:i w:val="false"/>
          <w:iCs w:val="false"/>
          <w:color w:val="16304F"/>
          <w:sz w:val="21"/>
          <w:szCs w:val="21"/>
        </w:rPr>
        <w:t xml:space="preserve">（2）不正・虚偽が疑われる場合の手続</w:t>
      </w:r>
    </w:p>
    <w:p>
      <w:pPr>
        <w:pStyle w:val="ListParagraph"/>
        <w:numPr>
          <w:ilvl w:val="0"/>
          <w:numId w:val="3"/>
        </w:numPr>
        <w:spacing w:after="60" w:line="300"/>
      </w:pPr>
      <w:r>
        <w:rPr>
          <w:rFonts w:ascii="游ゴシック" w:cs="游ゴシック" w:eastAsia="游ゴシック" w:hAnsi="游ゴシック"/>
          <w:b w:val="false"/>
          <w:bCs w:val="false"/>
          <w:i w:val="false"/>
          <w:iCs w:val="false"/>
          <w:color w:val="3F4756"/>
          <w:sz w:val="21"/>
          <w:szCs w:val="21"/>
        </w:rPr>
        <w:t xml:space="preserve">事案を認知した担当者は、速やかに人事採用戦略部及び人事管理部へ報告する。</w:t>
      </w:r>
    </w:p>
    <w:p>
      <w:pPr>
        <w:pStyle w:val="ListParagraph"/>
        <w:numPr>
          <w:ilvl w:val="0"/>
          <w:numId w:val="3"/>
        </w:numPr>
        <w:spacing w:after="60" w:line="300"/>
      </w:pPr>
      <w:r>
        <w:rPr>
          <w:rFonts w:ascii="游ゴシック" w:cs="游ゴシック" w:eastAsia="游ゴシック" w:hAnsi="游ゴシック"/>
          <w:b w:val="false"/>
          <w:bCs w:val="false"/>
          <w:i w:val="false"/>
          <w:iCs w:val="false"/>
          <w:color w:val="3F4756"/>
          <w:sz w:val="21"/>
          <w:szCs w:val="21"/>
        </w:rPr>
        <w:t xml:space="preserve">人事採用戦略部は、紹介フォーム、応募履歴、被紹介者本人への確認等により事実関係を確認する。</w:t>
      </w:r>
    </w:p>
    <w:p>
      <w:pPr>
        <w:pStyle w:val="ListParagraph"/>
        <w:numPr>
          <w:ilvl w:val="0"/>
          <w:numId w:val="3"/>
        </w:numPr>
        <w:spacing w:after="60" w:line="300"/>
      </w:pPr>
      <w:r>
        <w:rPr>
          <w:rFonts w:ascii="游ゴシック" w:cs="游ゴシック" w:eastAsia="游ゴシック" w:hAnsi="游ゴシック"/>
          <w:b w:val="false"/>
          <w:bCs w:val="false"/>
          <w:i w:val="false"/>
          <w:iCs w:val="false"/>
          <w:color w:val="3F4756"/>
          <w:sz w:val="21"/>
          <w:szCs w:val="21"/>
        </w:rPr>
        <w:t xml:space="preserve">人事採用戦略部及び人事管理部が協議のうえ、対象外とするか否か、インセンティブ及びポイントを取り消すか否かを決定する。制度全体に影響する重要事項については、必要な社内決裁を経る。</w:t>
      </w:r>
    </w:p>
    <w:p>
      <w:pPr>
        <w:pStyle w:val="ListParagraph"/>
        <w:numPr>
          <w:ilvl w:val="0"/>
          <w:numId w:val="3"/>
        </w:numPr>
        <w:spacing w:after="60" w:line="300"/>
      </w:pPr>
      <w:r>
        <w:rPr>
          <w:rFonts w:ascii="游ゴシック" w:cs="游ゴシック" w:eastAsia="游ゴシック" w:hAnsi="游ゴシック"/>
          <w:b w:val="false"/>
          <w:bCs w:val="false"/>
          <w:i w:val="false"/>
          <w:iCs w:val="false"/>
          <w:color w:val="3F4756"/>
          <w:sz w:val="21"/>
          <w:szCs w:val="21"/>
        </w:rPr>
        <w:t xml:space="preserve">決定内容及びその理由を紹介者へ通知し、紹介管理台帳に記録する。</w:t>
      </w:r>
    </w:p>
    <w:p>
      <w:pPr>
        <w:spacing w:after="40" w:before="80" w:line="280"/>
      </w:pPr>
      <w:r>
        <w:rPr>
          <w:rFonts w:ascii="游ゴシック" w:cs="游ゴシック" w:eastAsia="游ゴシック" w:hAnsi="游ゴシック"/>
          <w:b w:val="false"/>
          <w:bCs w:val="false"/>
          <w:i/>
          <w:iCs/>
          <w:color w:val="3F4756"/>
          <w:sz w:val="17"/>
          <w:szCs w:val="17"/>
        </w:rPr>
        <w:t xml:space="preserve">※ 取消しの対象となり得る行為：被紹介者本人の同意を得ずに紹介した場合、虚偽の情報により紹介登録を行った場合、既に応募済みの者について事後的に紹介フォームを提出した場合、その他本制度の趣旨に反する行為が認められた場合。</w:t>
      </w:r>
    </w:p>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16. </w:t>
      </w:r>
      <w:r>
        <w:rPr>
          <w:rFonts w:ascii="游ゴシック" w:cs="游ゴシック" w:eastAsia="游ゴシック" w:hAnsi="游ゴシック"/>
          <w:b/>
          <w:bCs/>
          <w:i w:val="false"/>
          <w:iCs w:val="false"/>
          <w:color w:val="16304F"/>
          <w:sz w:val="24"/>
          <w:szCs w:val="24"/>
        </w:rPr>
        <w:t xml:space="preserve">問い合わせ対応</w:t>
      </w:r>
    </w:p>
    <w:p>
      <w:pPr>
        <w:keepNext/>
        <w:spacing w:after="80" w:before="180"/>
      </w:pPr>
      <w:r>
        <w:rPr>
          <w:rFonts w:ascii="游ゴシック" w:cs="游ゴシック" w:eastAsia="游ゴシック" w:hAnsi="游ゴシック"/>
          <w:b/>
          <w:bCs/>
          <w:i w:val="false"/>
          <w:iCs w:val="false"/>
          <w:color w:val="16304F"/>
          <w:sz w:val="21"/>
          <w:szCs w:val="21"/>
        </w:rPr>
        <w:t xml:space="preserve">（1）窓口一覧</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5426"/>
        <w:gridCol w:w="3600"/>
      </w:tblGrid>
      <w:tr>
        <w:tc>
          <w:tcPr>
            <w:tcW w:type="dxa" w:w="5426"/>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紹介対象になるか・紹介フォームの入力・受付</w:t>
            </w:r>
          </w:p>
        </w:tc>
        <w:tc>
          <w:tcPr>
            <w:tcW w:type="dxa" w:w="3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人事採用戦略部　野澤</w:t>
            </w:r>
          </w:p>
        </w:tc>
      </w:tr>
      <w:tr>
        <w:tc>
          <w:tcPr>
            <w:tcW w:type="dxa" w:w="5426"/>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被紹介者の応募・必要書類・書類選考・面接</w:t>
            </w:r>
          </w:p>
        </w:tc>
        <w:tc>
          <w:tcPr>
            <w:tcW w:type="dxa" w:w="3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人事採用戦略部　野澤</w:t>
            </w:r>
          </w:p>
        </w:tc>
      </w:tr>
      <w:tr>
        <w:tc>
          <w:tcPr>
            <w:tcW w:type="dxa" w:w="5426"/>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勤務地・勤務時間・時給・雇用形態等の募集条件</w:t>
            </w:r>
          </w:p>
        </w:tc>
        <w:tc>
          <w:tcPr>
            <w:tcW w:type="dxa" w:w="3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各拠点 採用担当者</w:t>
            </w:r>
          </w:p>
        </w:tc>
      </w:tr>
      <w:tr>
        <w:tc>
          <w:tcPr>
            <w:tcW w:type="dxa" w:w="5426"/>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紹介インセンティブの申請・支給</w:t>
            </w:r>
          </w:p>
        </w:tc>
        <w:tc>
          <w:tcPr>
            <w:tcW w:type="dxa" w:w="3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　坂本</w:t>
            </w:r>
          </w:p>
        </w:tc>
      </w:tr>
      <w:tr>
        <w:tc>
          <w:tcPr>
            <w:tcW w:type="dxa" w:w="5426"/>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FMG Referral Challenge のポイント・順位・集計</w:t>
            </w:r>
          </w:p>
        </w:tc>
        <w:tc>
          <w:tcPr>
            <w:tcW w:type="dxa" w:w="3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人事採用戦略部　内山</w:t>
            </w:r>
          </w:p>
        </w:tc>
      </w:tr>
      <w:tr>
        <w:tc>
          <w:tcPr>
            <w:tcW w:type="dxa" w:w="5426"/>
            <w:shd w:fill="F2F0EB" w:color="auto" w:val="clear"/>
            <w:tcMar>
              <w:top w:type="dxa" w:w="70"/>
              <w:left w:type="dxa" w:w="110"/>
              <w:bottom w:type="dxa" w:w="70"/>
              <w:right w:type="dxa" w:w="110"/>
            </w:tcMar>
            <w:vAlign w:val="center"/>
          </w:tcPr>
          <w:p>
            <w:pPr>
              <w:spacing w:after="0" w:line="280"/>
            </w:pPr>
            <w:r>
              <w:rPr>
                <w:rFonts w:ascii="游ゴシック" w:cs="游ゴシック" w:eastAsia="游ゴシック" w:hAnsi="游ゴシック"/>
                <w:b/>
                <w:bCs/>
                <w:i w:val="false"/>
                <w:iCs w:val="false"/>
                <w:color w:val="16304F"/>
                <w:sz w:val="20"/>
                <w:szCs w:val="20"/>
              </w:rPr>
              <w:t xml:space="preserve">就業規則・賃金規程、制度上の取扱い</w:t>
            </w:r>
          </w:p>
        </w:tc>
        <w:tc>
          <w:tcPr>
            <w:tcW w:type="dxa" w:w="36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　髙田部長</w:t>
            </w:r>
          </w:p>
        </w:tc>
      </w:tr>
    </w:tbl>
    <w:p>
      <w:pPr>
        <w:spacing w:after="100"/>
      </w:pPr>
      <w:r>
        <w:rPr>
          <w:rFonts w:ascii="游ゴシック" w:cs="游ゴシック" w:eastAsia="游ゴシック" w:hAnsi="游ゴシック"/>
          <w:b w:val="false"/>
          <w:bCs w:val="false"/>
          <w:i w:val="false"/>
          <w:iCs w:val="false"/>
          <w:color w:val="3F4756"/>
          <w:sz w:val="21"/>
          <w:szCs w:val="21"/>
        </w:rPr>
        <w:t xml:space="preserve"/>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社員は、上記区分を確認のうえ、該当する担当窓口へ直接問い合わせる。担当外の窓口が受けた場合は、該当窓口へ転送し、その旨を問い合わせ者へ連絡する。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回答は、受領から3営業日以内を目安に行う。判断に時間を要する場合は、その旨と回答予定時期を連絡する。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被紹介者本人の選考状況については、紹介者を介さず、人事採用戦略部と被紹介者本人との間で直接対応する。個別の採否理由は紹介者へ開示しない。</w:t>
      </w:r>
    </w:p>
    <w:p>
      <w:pPr>
        <w:spacing w:after="100"/>
      </w:pPr>
      <w:r>
        <w:rPr>
          <w:rFonts w:ascii="游ゴシック" w:cs="游ゴシック" w:eastAsia="游ゴシック" w:hAnsi="游ゴシック"/>
          <w:b w:val="false"/>
          <w:bCs w:val="false"/>
          <w:i w:val="false"/>
          <w:iCs w:val="false"/>
          <w:color w:val="3F4756"/>
          <w:sz w:val="21"/>
          <w:szCs w:val="21"/>
        </w:rPr>
        <w:t xml:space="preserve"/>
      </w:r>
    </w:p>
    <w:p>
      <w:pPr>
        <w:keepNext/>
        <w:spacing w:after="80" w:before="180"/>
      </w:pPr>
      <w:r>
        <w:rPr>
          <w:rFonts w:ascii="游ゴシック" w:cs="游ゴシック" w:eastAsia="游ゴシック" w:hAnsi="游ゴシック"/>
          <w:b/>
          <w:bCs/>
          <w:i w:val="false"/>
          <w:iCs w:val="false"/>
          <w:color w:val="16304F"/>
          <w:sz w:val="21"/>
          <w:szCs w:val="21"/>
        </w:rPr>
        <w:t xml:space="preserve">（2）想定される問い合わせと回答</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3026"/>
        <w:gridCol w:w="6000"/>
      </w:tblGrid>
      <w:tr>
        <w:trPr>
          <w:tblHeader/>
        </w:trPr>
        <w:tc>
          <w:tcPr>
            <w:tcW w:type="dxa" w:w="3026"/>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質問</w:t>
            </w:r>
          </w:p>
        </w:tc>
        <w:tc>
          <w:tcPr>
            <w:tcW w:type="dxa" w:w="60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回答</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紹介できるのはPAX経験者だけか</w:t>
            </w:r>
          </w:p>
        </w:tc>
        <w:tc>
          <w:tcPr>
            <w:tcW w:type="dxa" w:w="6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PAXの実務経験1年以上が原則。1年未満でもDC・GC・AS・SVのいずれかの経験があれば紹介可能。PAX未経験者は対象外</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短時間勤務希望者しか紹介できないのか</w:t>
            </w:r>
          </w:p>
        </w:tc>
        <w:tc>
          <w:tcPr>
            <w:tcW w:type="dxa" w:w="6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雇用形態は問わない。正社員・契約社員・長時間勤務パート希望の経験者も紹介できる</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インセンティブの額は雇用形態で変わるか</w:t>
            </w:r>
          </w:p>
        </w:tc>
        <w:tc>
          <w:tcPr>
            <w:tcW w:type="dxa" w:w="6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変わらない。被紹介者1名につき一律20,000円。ただしポイントは短時間勤務者（週20時間未満）が3ポイント、それ以外が1ポイント</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他拠点・他部門の社員でも紹介できるか</w:t>
            </w:r>
          </w:p>
        </w:tc>
        <w:tc>
          <w:tcPr>
            <w:tcW w:type="dxa" w:w="6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紹介者の所属拠点・部門は問わない。ただし採用業務を直接担当する社員は対象外</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被紹介者が既に自分で応募していた</w:t>
            </w:r>
          </w:p>
        </w:tc>
        <w:tc>
          <w:tcPr>
            <w:tcW w:type="dxa" w:w="6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紹介フォーム提出時点で直接応募済み・選考中の場合は原則として対象外</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選考がどこまで進んでいるか知りたい</w:t>
            </w:r>
          </w:p>
        </w:tc>
        <w:tc>
          <w:tcPr>
            <w:tcW w:type="dxa" w:w="6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選考状況は紹介者へ開示しない。人事採用戦略部と被紹介者本人との間で直接対応する</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実施期間の終わり際に紹介した場合はどうなるか</w:t>
            </w:r>
          </w:p>
        </w:tc>
        <w:tc>
          <w:tcPr>
            <w:tcW w:type="dxa" w:w="6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期間内に紹介フォームが受理されていれば、選考・入社が期間終了後になっても対象となる</w:t>
            </w:r>
          </w:p>
        </w:tc>
      </w:tr>
      <w:tr>
        <w:tc>
          <w:tcPr>
            <w:tcW w:type="dxa" w:w="30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申請を忘れていた</w:t>
            </w:r>
          </w:p>
        </w:tc>
        <w:tc>
          <w:tcPr>
            <w:tcW w:type="dxa" w:w="60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本採用日から1か月以内の申請が必要。期限を過ぎた場合は受給資格を失う</w:t>
            </w:r>
          </w:p>
        </w:tc>
      </w:tr>
    </w:tbl>
    <w:p>
      <w:pPr>
        <w:keepNext/>
        <w:pBdr>
          <w:bottom w:val="single" w:color="D6CEBD" w:sz="4" w:space="6"/>
        </w:pBdr>
        <w:spacing w:after="140" w:before="300"/>
        <w:outlineLvl w:val="0"/>
      </w:pPr>
      <w:r>
        <w:rPr>
          <w:rFonts w:ascii="游ゴシック" w:cs="游ゴシック" w:eastAsia="游ゴシック" w:hAnsi="游ゴシック"/>
          <w:b/>
          <w:bCs/>
          <w:i w:val="false"/>
          <w:iCs w:val="false"/>
          <w:color w:val="9C6F1E"/>
          <w:sz w:val="24"/>
          <w:szCs w:val="24"/>
        </w:rPr>
        <w:t xml:space="preserve">17. </w:t>
      </w:r>
      <w:r>
        <w:rPr>
          <w:rFonts w:ascii="游ゴシック" w:cs="游ゴシック" w:eastAsia="游ゴシック" w:hAnsi="游ゴシック"/>
          <w:b/>
          <w:bCs/>
          <w:i w:val="false"/>
          <w:iCs w:val="false"/>
          <w:color w:val="16304F"/>
          <w:sz w:val="24"/>
          <w:szCs w:val="24"/>
        </w:rPr>
        <w:t xml:space="preserve">雑則</w:t>
      </w:r>
    </w:p>
    <w:p>
      <w:pPr>
        <w:keepNext/>
        <w:spacing w:after="80" w:before="180"/>
      </w:pPr>
      <w:r>
        <w:rPr>
          <w:rFonts w:ascii="游ゴシック" w:cs="游ゴシック" w:eastAsia="游ゴシック" w:hAnsi="游ゴシック"/>
          <w:b/>
          <w:bCs/>
          <w:i w:val="false"/>
          <w:iCs w:val="false"/>
          <w:color w:val="16304F"/>
          <w:sz w:val="21"/>
          <w:szCs w:val="21"/>
        </w:rPr>
        <w:t xml:space="preserve">（1）記録の保存</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紹介フォーム、紹介管理台帳、ポイント管理台帳、支給申請書及び支給記録は、会社の文書管理規程に従い保存する。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本制度の終了後も、支給及び表彰に関する記録は、賃金に係る記録として関係法令及び社内規程に定める期間保存する。</w:t>
      </w:r>
    </w:p>
    <w:p>
      <w:pPr>
        <w:keepNext/>
        <w:spacing w:after="80" w:before="180"/>
      </w:pPr>
      <w:r>
        <w:rPr>
          <w:rFonts w:ascii="游ゴシック" w:cs="游ゴシック" w:eastAsia="游ゴシック" w:hAnsi="游ゴシック"/>
          <w:b/>
          <w:bCs/>
          <w:i w:val="false"/>
          <w:iCs w:val="false"/>
          <w:color w:val="16304F"/>
          <w:sz w:val="21"/>
          <w:szCs w:val="21"/>
        </w:rPr>
        <w:t xml:space="preserve">（2）本要領の改定</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本要領は人事管理部が所管し、制度規程の改定、運用実態の変化等に応じて改定する。</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本要領に定めのない事項又は運用上疑義が生じた事項については、人事採用戦略部及び人事管理部が協議のうえ決定する。制度全体に影響する重要事項については、必要な社内決裁を経る。</w:t>
      </w:r>
    </w:p>
    <w:p>
      <w:pPr>
        <w:keepNext/>
        <w:spacing w:after="80" w:before="180"/>
      </w:pPr>
      <w:r>
        <w:rPr>
          <w:rFonts w:ascii="游ゴシック" w:cs="游ゴシック" w:eastAsia="游ゴシック" w:hAnsi="游ゴシック"/>
          <w:b/>
          <w:bCs/>
          <w:i w:val="false"/>
          <w:iCs w:val="false"/>
          <w:color w:val="16304F"/>
          <w:sz w:val="21"/>
          <w:szCs w:val="21"/>
        </w:rPr>
        <w:t xml:space="preserve">（3）施行</w:t>
      </w:r>
    </w:p>
    <w:p>
      <w:pPr>
        <w:pStyle w:val="ListParagraph"/>
        <w:numPr>
          <w:ilvl w:val="0"/>
          <w:numId w:val="2"/>
        </w:numPr>
        <w:spacing w:after="60" w:line="300"/>
      </w:pPr>
      <w:r>
        <w:rPr>
          <w:rFonts w:ascii="游ゴシック" w:cs="游ゴシック" w:eastAsia="游ゴシック" w:hAnsi="游ゴシック"/>
          <w:b w:val="false"/>
          <w:bCs w:val="false"/>
          <w:i w:val="false"/>
          <w:iCs w:val="false"/>
          <w:color w:val="3F4756"/>
          <w:sz w:val="21"/>
          <w:szCs w:val="21"/>
        </w:rPr>
        <w:t xml:space="preserve">本要領は、制度規程の施行日をもって施行する。</w:t>
      </w:r>
    </w:p>
    <w:p>
      <w:pPr>
        <w:spacing w:after="100"/>
      </w:pPr>
      <w:r>
        <w:rPr>
          <w:rFonts w:ascii="游ゴシック" w:cs="游ゴシック" w:eastAsia="游ゴシック" w:hAnsi="游ゴシック"/>
          <w:b w:val="false"/>
          <w:bCs w:val="false"/>
          <w:i w:val="false"/>
          <w:iCs w:val="false"/>
          <w:color w:val="3F4756"/>
          <w:sz w:val="21"/>
          <w:szCs w:val="21"/>
        </w:rPr>
        <w:t xml:space="preserve"/>
      </w:r>
    </w:p>
    <w:p>
      <w:pPr>
        <w:keepNext/>
        <w:spacing w:after="80" w:before="180"/>
      </w:pPr>
      <w:r>
        <w:rPr>
          <w:rFonts w:ascii="游ゴシック" w:cs="游ゴシック" w:eastAsia="游ゴシック" w:hAnsi="游ゴシック"/>
          <w:b/>
          <w:bCs/>
          <w:i w:val="false"/>
          <w:iCs w:val="false"/>
          <w:color w:val="16304F"/>
          <w:sz w:val="21"/>
          <w:szCs w:val="21"/>
        </w:rPr>
        <w:t xml:space="preserve">（4）改定履歴</w:t>
      </w:r>
    </w:p>
    <w:tbl>
      <w:tblPr>
        <w:tblW w:type="dxa" w:w="9026"/>
        <w:tblBorders>
          <w:top w:val="single" w:color="D6CEBD" w:sz="2" w:space="0"/>
          <w:left w:val="single" w:color="D6CEBD" w:sz="2" w:space="0"/>
          <w:bottom w:val="single" w:color="D6CEBD" w:sz="2" w:space="0"/>
          <w:right w:val="single" w:color="D6CEBD" w:sz="2" w:space="0"/>
          <w:insideH w:val="single" w:color="D6CEBD" w:sz="2" w:space="0"/>
          <w:insideV w:val="single" w:color="D6CEBD" w:sz="2" w:space="0"/>
        </w:tblBorders>
      </w:tblPr>
      <w:tblGrid>
        <w:gridCol w:w="1626"/>
        <w:gridCol w:w="1800"/>
        <w:gridCol w:w="3800"/>
        <w:gridCol w:w="1800"/>
      </w:tblGrid>
      <w:tr>
        <w:trPr>
          <w:tblHeader/>
        </w:trPr>
        <w:tc>
          <w:tcPr>
            <w:tcW w:type="dxa" w:w="1626"/>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版数</w:t>
            </w:r>
          </w:p>
        </w:tc>
        <w:tc>
          <w:tcPr>
            <w:tcW w:type="dxa" w:w="18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改定日</w:t>
            </w:r>
          </w:p>
        </w:tc>
        <w:tc>
          <w:tcPr>
            <w:tcW w:type="dxa" w:w="38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改定内容</w:t>
            </w:r>
          </w:p>
        </w:tc>
        <w:tc>
          <w:tcPr>
            <w:tcW w:type="dxa" w:w="1800"/>
            <w:shd w:fill="F2F0EB" w:color="auto" w:val="clear"/>
            <w:tcMar>
              <w:top w:type="dxa" w:w="70"/>
              <w:left w:type="dxa" w:w="110"/>
              <w:bottom w:type="dxa" w:w="70"/>
              <w:right w:type="dxa" w:w="110"/>
            </w:tcMar>
            <w:vAlign w:val="center"/>
          </w:tcPr>
          <w:p>
            <w:pPr>
              <w:spacing w:after="0" w:line="280"/>
              <w:jc w:val="center"/>
            </w:pPr>
            <w:r>
              <w:rPr>
                <w:rFonts w:ascii="游ゴシック" w:cs="游ゴシック" w:eastAsia="游ゴシック" w:hAnsi="游ゴシック"/>
                <w:b/>
                <w:bCs/>
                <w:i w:val="false"/>
                <w:iCs w:val="false"/>
                <w:color w:val="16304F"/>
                <w:sz w:val="20"/>
                <w:szCs w:val="20"/>
              </w:rPr>
              <w:t xml:space="preserve">作成／改定者</w:t>
            </w:r>
          </w:p>
        </w:tc>
      </w:tr>
      <w:tr>
        <w:tc>
          <w:tcPr>
            <w:tcW w:type="dxa" w:w="1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第1版（案）</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　年　月　日</w:t>
            </w:r>
          </w:p>
        </w:tc>
        <w:tc>
          <w:tcPr>
            <w:tcW w:type="dxa" w:w="3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新規制定</w:t>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人事管理部</w:t>
            </w:r>
          </w:p>
        </w:tc>
      </w:tr>
      <w:tr>
        <w:tc>
          <w:tcPr>
            <w:tcW w:type="dxa" w:w="1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
            </w:r>
          </w:p>
        </w:tc>
        <w:tc>
          <w:tcPr>
            <w:tcW w:type="dxa" w:w="3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
            </w:r>
          </w:p>
        </w:tc>
      </w:tr>
      <w:tr>
        <w:tc>
          <w:tcPr>
            <w:tcW w:type="dxa" w:w="1626"/>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
            </w:r>
          </w:p>
        </w:tc>
        <w:tc>
          <w:tcPr>
            <w:tcW w:type="dxa" w:w="3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
            </w:r>
          </w:p>
        </w:tc>
        <w:tc>
          <w:tcPr>
            <w:tcW w:type="dxa" w:w="1800"/>
            <w:tcMar>
              <w:top w:type="dxa" w:w="70"/>
              <w:left w:type="dxa" w:w="110"/>
              <w:bottom w:type="dxa" w:w="70"/>
              <w:right w:type="dxa" w:w="110"/>
            </w:tcMar>
            <w:vAlign w:val="center"/>
          </w:tcPr>
          <w:p>
            <w:pPr>
              <w:spacing w:after="0" w:line="280"/>
            </w:pPr>
            <w:r>
              <w:rPr>
                <w:rFonts w:ascii="游ゴシック" w:cs="游ゴシック" w:eastAsia="游ゴシック" w:hAnsi="游ゴシック"/>
                <w:b w:val="false"/>
                <w:bCs w:val="false"/>
                <w:i w:val="false"/>
                <w:iCs w:val="false"/>
                <w:color w:val="3F4756"/>
                <w:sz w:val="20"/>
                <w:szCs w:val="20"/>
              </w:rPr>
              <w:t xml:space="preserve"/>
            </w:r>
          </w:p>
        </w:tc>
      </w:tr>
    </w:tbl>
    <w:p>
      <w:pPr>
        <w:spacing w:after="0" w:before="240" w:line="300"/>
        <w:jc w:val="right"/>
      </w:pPr>
      <w:r>
        <w:rPr>
          <w:rFonts w:ascii="游ゴシック" w:cs="游ゴシック" w:eastAsia="游ゴシック" w:hAnsi="游ゴシック"/>
          <w:b/>
          <w:bCs/>
          <w:i w:val="false"/>
          <w:iCs w:val="false"/>
          <w:color w:val="3F4756"/>
          <w:sz w:val="21"/>
          <w:szCs w:val="21"/>
        </w:rPr>
        <w:t xml:space="preserve">以　上</w:t>
      </w:r>
    </w:p>
    <w:sectPr>
      <w:pgSz w:w="11906" w:h="16838" w:orient="portrait"/>
      <w:pgMar w:top="14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游ゴシック" w:cs="游ゴシック" w:eastAsia="游ゴシック" w:hAnsi="游ゴシック"/>
        <w:color w:val="9C6F1E"/>
        <w:sz w:val="14"/>
        <w:szCs w:val="14"/>
      </w:rPr>
    </w:lvl>
  </w:abstractNum>
  <w:abstractNum w:abstractNumId="3" w15:restartNumberingAfterBreak="0">
    <w:multiLevelType w:val="hybridMultilevel"/>
    <w:lvl w:ilvl="0" w15:tentative="1">
      <w:start w:val="1"/>
      <w:numFmt w:val="decimal"/>
      <w:lvlText w:val="%1."/>
      <w:lvlJc w:val="left"/>
      <w:pPr>
        <w:ind w:left="460" w:hanging="320"/>
      </w:pPr>
      <w:rPr>
        <w:rFonts w:ascii="游ゴシック" w:cs="游ゴシック" w:eastAsia="游ゴシック" w:hAnsi="游ゴシック"/>
        <w:color w:val="9C6F1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color w:val="1A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2026-08-19T06:50:16.179Z</dcterms:created>
  <dcterms:modified xsi:type="dcterms:W3CDTF">2026-08-19T06:50:16.180Z</dcterms:modified>
</cp:coreProperties>
</file>

<file path=docProps/custom.xml><?xml version="1.0" encoding="utf-8"?>
<Properties xmlns="http://schemas.openxmlformats.org/officeDocument/2006/custom-properties" xmlns:vt="http://schemas.openxmlformats.org/officeDocument/2006/docPropsVTypes"/>
</file>