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0. Contexto y supuestos</w:t>
      </w:r>
    </w:p>
    <w:p>
      <w:pPr>
        <w:pStyle w:val="Heading2"/>
      </w:pPr>
      <w:r>
        <w:t>0.1 Escenario de negocio</w:t>
      </w:r>
    </w:p>
    <w:p>
      <w:r>
        <w:t xml:space="preserve">Una aerolínea </w:t>
      </w:r>
      <w:r>
        <w:rPr>
          <w:b/>
        </w:rPr>
        <w:t>regional</w:t>
      </w:r>
      <w:r>
        <w:t xml:space="preserve"> contrata al equipo para construir su sistema de reservas</w:t>
      </w:r>
    </w:p>
    <w:p>
      <w:r>
        <w:t>de vuelos desde cero. Directrices del negocio (deliberadamente incompletas):</w:t>
      </w:r>
    </w:p>
    <w:p>
      <w:pPr>
        <w:pStyle w:val="ListBullet"/>
      </w:pPr>
      <w:r>
        <w:t>Los pasajeros buscan vuelos, reservan y pagan billetes, y consultan o cancelan sus reservas.</w:t>
      </w:r>
    </w:p>
    <w:p>
      <w:pPr>
        <w:pStyle w:val="ListBullet"/>
      </w:pPr>
      <w:r>
        <w:t xml:space="preserve">Venta </w:t>
      </w:r>
      <w:r>
        <w:rPr>
          <w:b/>
        </w:rPr>
        <w:t>directa</w:t>
      </w:r>
      <w:r>
        <w:t xml:space="preserve"> (sitio web) y a través de </w:t>
      </w:r>
      <w:r>
        <w:rPr>
          <w:b/>
        </w:rPr>
        <w:t>agencias de viajes asociadas</w:t>
      </w:r>
      <w:r>
        <w:t>.</w:t>
      </w:r>
    </w:p>
    <w:p>
      <w:pPr>
        <w:pStyle w:val="ListBullet"/>
      </w:pPr>
      <w:r>
        <w:rPr>
          <w:b/>
        </w:rPr>
        <w:t>Tarifas</w:t>
      </w:r>
      <w:r>
        <w:t xml:space="preserve"> variables según antelación de compra y tipo de asiento (economía, negocios).</w:t>
      </w:r>
    </w:p>
    <w:p>
      <w:pPr>
        <w:pStyle w:val="ListBullet"/>
      </w:pPr>
      <w:r>
        <w:t xml:space="preserve">Un vuelo puede tener </w:t>
      </w:r>
      <w:r>
        <w:rPr>
          <w:b/>
        </w:rPr>
        <w:t>escalas</w:t>
      </w:r>
      <w:r>
        <w:t xml:space="preserve">; un pasajero puede reservar un </w:t>
      </w:r>
      <w:r>
        <w:rPr>
          <w:b/>
        </w:rPr>
        <w:t>itinerario multi-tramo en una sola transacción</w:t>
      </w:r>
      <w:r>
        <w:t>.</w:t>
      </w:r>
    </w:p>
    <w:p>
      <w:pPr>
        <w:pStyle w:val="ListBullet"/>
      </w:pPr>
      <w:r>
        <w:t xml:space="preserve">La gerencia comercial quiere analizar después: </w:t>
      </w:r>
      <w:r>
        <w:rPr>
          <w:b/>
        </w:rPr>
        <w:t>ocupación por ruta</w:t>
      </w:r>
      <w:r>
        <w:t xml:space="preserve">, </w:t>
      </w:r>
      <w:r>
        <w:rPr>
          <w:b/>
        </w:rPr>
        <w:t>ingresos por tarifa</w:t>
      </w:r>
      <w:r>
        <w:t xml:space="preserve">, </w:t>
      </w:r>
      <w:r>
        <w:rPr>
          <w:b/>
        </w:rPr>
        <w:t>patrones de cancelación</w:t>
      </w:r>
      <w:r>
        <w:t>.</w:t>
      </w:r>
    </w:p>
    <w:p>
      <w:pPr>
        <w:pStyle w:val="ListBullet"/>
      </w:pPr>
      <w:r>
        <w:t xml:space="preserve">Regla dura: </w:t>
      </w:r>
      <w:r>
        <w:rPr>
          <w:i/>
        </w:rPr>
        <w:t>"el sistema no debe vender más asientos de los que tiene la aeronave"</w:t>
      </w:r>
      <w:r>
        <w:t>.</w:t>
      </w:r>
    </w:p>
    <w:p>
      <w:pPr>
        <w:pStyle w:val="ListBullet"/>
      </w:pPr>
      <w:r>
        <w:rPr>
          <w:i/>
        </w:rPr>
        <w:t>"Los picos de tráfico durante la temporada alta"</w:t>
      </w:r>
      <w:r>
        <w:t xml:space="preserve"> — sin cifras concretas.</w:t>
      </w:r>
    </w:p>
    <w:p>
      <w:pPr>
        <w:pStyle w:val="Heading2"/>
      </w:pPr>
      <w:r>
        <w:t>0.2 Supuestos declarados</w:t>
      </w:r>
    </w:p>
    <w:p>
      <w:pPr>
        <w:ind w:left="360"/>
      </w:pPr>
      <w:r>
        <w:rPr>
          <w:i/>
          <w:color w:val="555555"/>
        </w:rPr>
        <w:t>Un supuesto no declarado es una decisión arquitectónica implícita.</w:t>
      </w:r>
      <w:r>
        <w:rPr>
          <w:i/>
          <w:color w:val="555555"/>
        </w:rPr>
        <w:t xml:space="preserve"> Todos los</w:t>
      </w:r>
    </w:p>
    <w:p>
      <w:pPr>
        <w:ind w:left="360"/>
      </w:pPr>
      <w:r>
        <w:rPr>
          <w:i/>
          <w:color w:val="555555"/>
        </w:rPr>
        <w:t>supuestos siguientes son decisiones del equipo, revisables, y cada uno indica qué</w:t>
      </w:r>
    </w:p>
    <w:p>
      <w:pPr>
        <w:ind w:left="360"/>
      </w:pPr>
      <w:r>
        <w:rPr>
          <w:i/>
          <w:color w:val="555555"/>
        </w:rPr>
        <w:t>parte del diseño se vería afectada si cambiara.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Supuesto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Justificación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Impacto si cambia</w:t>
            </w:r>
          </w:p>
        </w:tc>
      </w:tr>
      <w:tr>
        <w:tc>
          <w:tcPr>
            <w:tcW w:type="dxa" w:w="2160"/>
          </w:tcPr>
          <w:p>
            <w:r/>
            <w:r>
              <w:t>S1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 hay programa de viajero frecuente</w:t>
            </w:r>
            <w:r>
              <w:t xml:space="preserve"> en el MVP.</w:t>
            </w:r>
          </w:p>
        </w:tc>
        <w:tc>
          <w:tcPr>
            <w:tcW w:type="dxa" w:w="2160"/>
          </w:tcPr>
          <w:p>
            <w:r/>
            <w:r>
              <w:t>Fuera del núcleo evaluado; añade entidades (cuenta de millas, niveles) sin afectar la regla de sobreventa.</w:t>
            </w:r>
          </w:p>
        </w:tc>
        <w:tc>
          <w:tcPr>
            <w:tcW w:type="dxa" w:w="2160"/>
          </w:tcPr>
          <w:p>
            <w:r/>
            <w:r>
              <w:t xml:space="preserve">Nuevas entidades </w:t>
            </w:r>
            <w:r>
              <w:rPr>
                <w:rFonts w:ascii="Consolas" w:hAnsi="Consolas"/>
                <w:color w:val="C03030"/>
                <w:sz w:val="19"/>
              </w:rPr>
              <w:t>LoyaltyAccount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MileTransaction</w:t>
            </w:r>
            <w:r>
              <w:t>; reglas de tarifa con redención.</w:t>
            </w:r>
          </w:p>
        </w:tc>
      </w:tr>
      <w:tr>
        <w:tc>
          <w:tcPr>
            <w:tcW w:type="dxa" w:w="2160"/>
          </w:tcPr>
          <w:p>
            <w:r/>
            <w:r>
              <w:t>S2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 permiten cancelaciones.</w:t>
            </w:r>
            <w:r>
              <w:t xml:space="preserve"> El </w:t>
            </w:r>
            <w:r>
              <w:rPr>
                <w:b/>
              </w:rPr>
              <w:t>cambio de fecha</w:t>
            </w:r>
            <w:r>
              <w:t xml:space="preserve"> se modela como </w:t>
            </w:r>
            <w:r>
              <w:rPr>
                <w:i/>
              </w:rPr>
              <w:t>cancelar + volver a reservar</w:t>
            </w:r>
            <w:r>
              <w:t xml:space="preserve"> (con política de penalización configurable).</w:t>
            </w:r>
          </w:p>
        </w:tc>
        <w:tc>
          <w:tcPr>
            <w:tcW w:type="dxa" w:w="2160"/>
          </w:tcPr>
          <w:p>
            <w:r/>
            <w:r>
              <w:t>Evita lógica de reasignación de inventario entre instancias de vuelo; mantiene el flujo de reserva atómico y simple.</w:t>
            </w:r>
          </w:p>
        </w:tc>
        <w:tc>
          <w:tcPr>
            <w:tcW w:type="dxa" w:w="2160"/>
          </w:tcPr>
          <w:p>
            <w:r/>
            <w:r>
              <w:t xml:space="preserve">Nuevo caso de uso "modificar reserva" con transacción que libera un </w:t>
            </w:r>
            <w:r>
              <w:rPr>
                <w:rFonts w:ascii="Consolas" w:hAnsi="Consolas"/>
                <w:color w:val="C03030"/>
                <w:sz w:val="19"/>
              </w:rPr>
              <w:t>SeatInventory</w:t>
            </w:r>
            <w:r>
              <w:t xml:space="preserve"> y toma otro atómicamente.</w:t>
            </w:r>
          </w:p>
        </w:tc>
      </w:tr>
      <w:tr>
        <w:tc>
          <w:tcPr>
            <w:tcW w:type="dxa" w:w="2160"/>
          </w:tcPr>
          <w:p>
            <w:r/>
            <w:r>
              <w:t>S3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Agencias asociadas: mismo flujo de reserva</w:t>
            </w:r>
            <w:r>
              <w:t xml:space="preserve">, diferenciadas por </w:t>
            </w:r>
            <w:r>
              <w:rPr>
                <w:rFonts w:ascii="Consolas" w:hAnsi="Consolas"/>
                <w:color w:val="C03030"/>
                <w:sz w:val="19"/>
              </w:rPr>
              <w:t>channel = AGENCY</w:t>
            </w:r>
            <w:r>
              <w:t xml:space="preserve"> y con </w:t>
            </w:r>
            <w:r>
              <w:rPr>
                <w:b/>
              </w:rPr>
              <w:t>comisión</w:t>
            </w:r>
            <w:r>
              <w:t xml:space="preserve"> registrada por reserva. Sin API B2B separada en el MVP (se diseña, no se implementa).</w:t>
            </w:r>
          </w:p>
        </w:tc>
        <w:tc>
          <w:tcPr>
            <w:tcW w:type="dxa" w:w="2160"/>
          </w:tcPr>
          <w:p>
            <w:r/>
            <w:r>
              <w:t>La regla de sobreventa y el modelo de datos son idénticos; la diferencia es comercial (comisión, descuento), no transaccional.</w:t>
            </w:r>
          </w:p>
        </w:tc>
        <w:tc>
          <w:tcPr>
            <w:tcW w:type="dxa" w:w="2160"/>
          </w:tcPr>
          <w:p>
            <w:r/>
            <w:r>
              <w:t>Se añade una API B2B con su propia autenticación y contrato; el backend monolítico expone un router adicional.</w:t>
            </w:r>
          </w:p>
        </w:tc>
      </w:tr>
      <w:tr>
        <w:tc>
          <w:tcPr>
            <w:tcW w:type="dxa" w:w="2160"/>
          </w:tcPr>
          <w:p>
            <w:r/>
            <w:r>
              <w:t>S4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Reserva sin pago = *hold* temporal de 15 minutos</w:t>
            </w:r>
            <w:r>
              <w:t xml:space="preserve"> sobre el inventario (estado </w:t>
            </w:r>
            <w:r>
              <w:rPr>
                <w:rFonts w:ascii="Consolas" w:hAnsi="Consolas"/>
                <w:color w:val="C03030"/>
                <w:sz w:val="19"/>
              </w:rPr>
              <w:t>HELD</w:t>
            </w:r>
            <w:r>
              <w:t>); si no se paga, expira y libera los asientos.</w:t>
            </w:r>
          </w:p>
        </w:tc>
        <w:tc>
          <w:tcPr>
            <w:tcW w:type="dxa" w:w="2160"/>
          </w:tcPr>
          <w:p>
            <w:r/>
            <w:r>
              <w:t>El enunciado pregunta explícitamente si se permite reservar sin pagar. El hold protege al pasajero durante el pago sin bloquear inventario indefinidamente.</w:t>
            </w:r>
          </w:p>
        </w:tc>
        <w:tc>
          <w:tcPr>
            <w:tcW w:type="dxa" w:w="2160"/>
          </w:tcPr>
          <w:p>
            <w:r/>
            <w:r>
              <w:t xml:space="preserve">Cambiar a "pago atómico" elimina el estado </w:t>
            </w:r>
            <w:r>
              <w:rPr>
                <w:rFonts w:ascii="Consolas" w:hAnsi="Consolas"/>
                <w:color w:val="C03030"/>
                <w:sz w:val="19"/>
              </w:rPr>
              <w:t>HELD</w:t>
            </w:r>
            <w:r>
              <w:t xml:space="preserve"> y el job de expiración; simplifica pero empeora UX en pagos lentos.</w:t>
            </w:r>
          </w:p>
        </w:tc>
      </w:tr>
      <w:tr>
        <w:tc>
          <w:tcPr>
            <w:tcW w:type="dxa" w:w="2160"/>
          </w:tcPr>
          <w:p>
            <w:r/>
            <w:r>
              <w:t>S5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Una sola moneda (COP) y un idioma (es-CO)</w:t>
            </w:r>
            <w:r>
              <w:t xml:space="preserve"> en el MVP. El diseño contempla i18n y multi-moneda (tarifas con </w:t>
            </w:r>
            <w:r>
              <w:rPr>
                <w:rFonts w:ascii="Consolas" w:hAnsi="Consolas"/>
                <w:color w:val="C03030"/>
                <w:sz w:val="19"/>
              </w:rPr>
              <w:t>currency</w:t>
            </w:r>
            <w:r>
              <w:t>, textos externalizados).</w:t>
            </w:r>
          </w:p>
        </w:tc>
        <w:tc>
          <w:tcPr>
            <w:tcW w:type="dxa" w:w="2160"/>
          </w:tcPr>
          <w:p>
            <w:r/>
            <w:r>
              <w:t xml:space="preserve">Reduce alcance sin comprometer el modelo (la columna </w:t>
            </w:r>
            <w:r>
              <w:rPr>
                <w:rFonts w:ascii="Consolas" w:hAnsi="Consolas"/>
                <w:color w:val="C03030"/>
                <w:sz w:val="19"/>
              </w:rPr>
              <w:t>currency</w:t>
            </w:r>
            <w:r>
              <w:t xml:space="preserve"> ya existe).</w:t>
            </w:r>
          </w:p>
        </w:tc>
        <w:tc>
          <w:tcPr>
            <w:tcW w:type="dxa" w:w="2160"/>
          </w:tcPr>
          <w:p>
            <w:r/>
            <w:r>
              <w:t xml:space="preserve">Tabla de tipos de cambio, </w:t>
            </w:r>
            <w:r>
              <w:rPr>
                <w:rFonts w:ascii="Consolas" w:hAnsi="Consolas"/>
                <w:color w:val="C03030"/>
                <w:sz w:val="19"/>
              </w:rPr>
              <w:t>Fare</w:t>
            </w:r>
            <w:r>
              <w:t xml:space="preserve"> por moneda, frontend con catálogo de idiomas.</w:t>
            </w:r>
          </w:p>
        </w:tc>
      </w:tr>
      <w:tr>
        <w:tc>
          <w:tcPr>
            <w:tcW w:type="dxa" w:w="2160"/>
          </w:tcPr>
          <w:p>
            <w:r/>
            <w:r>
              <w:t>S6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Objetivo de disponibilidad: 99.9% mensual</w:t>
            </w:r>
            <w:r>
              <w:t xml:space="preserve"> (≤ ~43 min de caída/mes) como traducción de </w:t>
            </w:r>
            <w:r>
              <w:rPr>
                <w:i/>
              </w:rPr>
              <w:t>"no puede caerse en temporada alta"</w:t>
            </w:r>
            <w:r>
              <w:t>. MVP en single-AZ; el documento declara el trade-off de costo hacia Multi-AZ.</w:t>
            </w:r>
          </w:p>
        </w:tc>
        <w:tc>
          <w:tcPr>
            <w:tcW w:type="dxa" w:w="2160"/>
          </w:tcPr>
          <w:p>
            <w:r/>
            <w:r>
              <w:t>Número verificable y defendible; Multi-AZ duplica el costo de RDS.</w:t>
            </w:r>
          </w:p>
        </w:tc>
        <w:tc>
          <w:tcPr>
            <w:tcW w:type="dxa" w:w="2160"/>
          </w:tcPr>
          <w:p>
            <w:r/>
            <w:r>
              <w:t>Multi-AZ en ambas RDS, réplicas de lectura para búsqueda, mayor costo (ver 5.7).</w:t>
            </w:r>
          </w:p>
        </w:tc>
      </w:tr>
      <w:tr>
        <w:tc>
          <w:tcPr>
            <w:tcW w:type="dxa" w:w="2160"/>
          </w:tcPr>
          <w:p>
            <w:r/>
            <w:r>
              <w:t>S7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Asignación de asiento nominal ocurre en el check-in</w:t>
            </w:r>
            <w:r>
              <w:t xml:space="preserve">, no en la compra. En la compra solo se descuenta un </w:t>
            </w:r>
            <w:r>
              <w:rPr>
                <w:b/>
              </w:rPr>
              <w:t>contador de inventario por cabina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>Simplifica el bloqueo de concurrencia (un contador por cabina, no N filas de asiento); refleja la práctica real de aerolíneas regionales.</w:t>
            </w:r>
          </w:p>
        </w:tc>
        <w:tc>
          <w:tcPr>
            <w:tcW w:type="dxa" w:w="2160"/>
          </w:tcPr>
          <w:p>
            <w:r/>
            <w:r>
              <w:t>El inventario pasa a ser por asiento (</w:t>
            </w:r>
            <w:r>
              <w:rPr>
                <w:rFonts w:ascii="Consolas" w:hAnsi="Consolas"/>
                <w:color w:val="C03030"/>
                <w:sz w:val="19"/>
              </w:rPr>
              <w:t>Seat</w:t>
            </w:r>
            <w:r>
              <w:t xml:space="preserve"> con estado); el lock afecta filas individuales; posible selección de asiento de pago.</w:t>
            </w:r>
          </w:p>
        </w:tc>
      </w:tr>
      <w:tr>
        <w:tc>
          <w:tcPr>
            <w:tcW w:type="dxa" w:w="2160"/>
          </w:tcPr>
          <w:p>
            <w:r/>
            <w:r>
              <w:t>S8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Equipaje fuera de alcance</w:t>
            </w:r>
            <w:r>
              <w:t xml:space="preserve"> en el MVP (se puede añadir como </w:t>
            </w:r>
            <w:r>
              <w:rPr>
                <w:rFonts w:ascii="Consolas" w:hAnsi="Consolas"/>
                <w:color w:val="C03030"/>
                <w:sz w:val="19"/>
              </w:rPr>
              <w:t>AncillaryService</w:t>
            </w:r>
            <w:r>
              <w:t>).</w:t>
            </w:r>
          </w:p>
        </w:tc>
        <w:tc>
          <w:tcPr>
            <w:tcW w:type="dxa" w:w="2160"/>
          </w:tcPr>
          <w:p>
            <w:r/>
            <w:r>
              <w:t>No afecta la reserva ni la sobreventa.</w:t>
            </w:r>
          </w:p>
        </w:tc>
        <w:tc>
          <w:tcPr>
            <w:tcW w:type="dxa" w:w="2160"/>
          </w:tcPr>
          <w:p>
            <w:r/>
            <w:r>
              <w:t>Nueva entidad de servicios adicionales y su cobro.</w:t>
            </w:r>
          </w:p>
        </w:tc>
      </w:tr>
      <w:tr>
        <w:tc>
          <w:tcPr>
            <w:tcW w:type="dxa" w:w="2160"/>
          </w:tcPr>
          <w:p>
            <w:r/>
            <w:r>
              <w:t>S9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Número de rutas: se asume del orden de 10–30 rutas</w:t>
            </w:r>
            <w:r>
              <w:t xml:space="preserve"> y crecimiento de +20/año (del enunciado). Volumen de reservas moderado (aerolínea regional).</w:t>
            </w:r>
          </w:p>
        </w:tc>
        <w:tc>
          <w:tcPr>
            <w:tcW w:type="dxa" w:w="2160"/>
          </w:tcPr>
          <w:p>
            <w:r/>
            <w:r>
              <w:t xml:space="preserve">Base para el dimensionamiento (instancias </w:t>
            </w:r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>) y la proyección de costos y del escenario ×10 en 5.7.</w:t>
            </w:r>
          </w:p>
        </w:tc>
        <w:tc>
          <w:tcPr>
            <w:tcW w:type="dxa" w:w="2160"/>
          </w:tcPr>
          <w:p>
            <w:r/>
            <w:r>
              <w:t xml:space="preserve">Re-dimensionar instancias, particionar </w:t>
            </w:r>
            <w:r>
              <w:rPr>
                <w:rFonts w:ascii="Consolas" w:hAnsi="Consolas"/>
                <w:color w:val="C03030"/>
                <w:sz w:val="19"/>
              </w:rPr>
              <w:t>flight_instance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reservation</w:t>
            </w:r>
            <w:r>
              <w:t xml:space="preserve"> por fecha, revisar el cuello de botella del lock.</w:t>
            </w:r>
          </w:p>
        </w:tc>
      </w:tr>
      <w:tr>
        <w:tc>
          <w:tcPr>
            <w:tcW w:type="dxa" w:w="2160"/>
          </w:tcPr>
          <w:p>
            <w:r/>
            <w:r>
              <w:t>S10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Pago delegado a un proveedor externo</w:t>
            </w:r>
            <w:r>
              <w:t xml:space="preserve"> (pasarela). El sistema </w:t>
            </w:r>
            <w:r>
              <w:rPr>
                <w:b/>
              </w:rPr>
              <w:t>no almacena datos de tarjeta</w:t>
            </w:r>
            <w:r>
              <w:t xml:space="preserve">; guarda solo un token/referencia y el estado del pago. En el MVP el proveedor es un </w:t>
            </w:r>
            <w:r>
              <w:rPr>
                <w:i/>
              </w:rPr>
              <w:t>stub</w:t>
            </w:r>
            <w:r>
              <w:t xml:space="preserve"> simulado.</w:t>
            </w:r>
          </w:p>
        </w:tc>
        <w:tc>
          <w:tcPr>
            <w:tcW w:type="dxa" w:w="2160"/>
          </w:tcPr>
          <w:p>
            <w:r/>
            <w:r>
              <w:t>Saca el alcance PCI-DSS del sistema; el diseño de pagos real queda documentado.</w:t>
            </w:r>
          </w:p>
        </w:tc>
        <w:tc>
          <w:tcPr>
            <w:tcW w:type="dxa" w:w="2160"/>
          </w:tcPr>
          <w:p>
            <w:r/>
            <w:r>
              <w:t>Integración real con pasarela (webhooks de confirmación, conciliación, reintentos).</w:t>
            </w:r>
          </w:p>
        </w:tc>
      </w:tr>
    </w:tbl>
    <w:p/>
    <w:p>
      <w:pPr>
        <w:pStyle w:val="Heading2"/>
      </w:pPr>
      <w:r>
        <w:t>0.3 Actores del sistema</w:t>
      </w:r>
    </w:p>
    <w:p>
      <w:r>
        <w:t xml:space="preserve">Todos operan sobre </w:t>
      </w:r>
      <w:r>
        <w:rPr>
          <w:b/>
        </w:rPr>
        <w:t>el mismo backend</w:t>
      </w:r>
      <w:r>
        <w:t xml:space="preserve"> (un monolito modular), con **interfaces</w:t>
      </w:r>
    </w:p>
    <w:p>
      <w:r>
        <w:t>distintas** según el rol.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Interfaz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Casos de uso principales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Pasajero</w:t>
            </w:r>
          </w:p>
        </w:tc>
        <w:tc>
          <w:tcPr>
            <w:tcW w:type="dxa" w:w="2160"/>
          </w:tcPr>
          <w:p>
            <w:r/>
            <w:r>
              <w:t>Cliente final que compra en el sitio web.</w:t>
            </w:r>
          </w:p>
        </w:tc>
        <w:tc>
          <w:tcPr>
            <w:tcW w:type="dxa" w:w="2160"/>
          </w:tcPr>
          <w:p>
            <w:r/>
            <w:r>
              <w:t>SPA pública</w:t>
            </w:r>
          </w:p>
        </w:tc>
        <w:tc>
          <w:tcPr>
            <w:tcW w:type="dxa" w:w="2160"/>
          </w:tcPr>
          <w:p>
            <w:r/>
            <w:r>
              <w:t>Buscar vuelos, reservar (incl. multi-tramo), pagar, consultar, cancelar.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Agente de agencia asociada</w:t>
            </w:r>
          </w:p>
        </w:tc>
        <w:tc>
          <w:tcPr>
            <w:tcW w:type="dxa" w:w="2160"/>
          </w:tcPr>
          <w:p>
            <w:r/>
            <w:r>
              <w:t>Empleado de una agencia de viajes que reserva a nombre de un pasajero.</w:t>
            </w:r>
          </w:p>
        </w:tc>
        <w:tc>
          <w:tcPr>
            <w:tcW w:type="dxa" w:w="2160"/>
          </w:tcPr>
          <w:p>
            <w:r/>
            <w:r>
              <w:t>SPA (vista de agente) / futura API B2B</w:t>
            </w:r>
          </w:p>
        </w:tc>
        <w:tc>
          <w:tcPr>
            <w:tcW w:type="dxa" w:w="2160"/>
          </w:tcPr>
          <w:p>
            <w:r/>
            <w:r>
              <w:t>Mismo flujo de reserva + registro de comisión y datos de la agencia.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Personal de aeropuerto</w:t>
            </w:r>
          </w:p>
        </w:tc>
        <w:tc>
          <w:tcPr>
            <w:tcW w:type="dxa" w:w="2160"/>
          </w:tcPr>
          <w:p>
            <w:r/>
            <w:r>
              <w:t>Realiza el check-in y la asignación de asiento.</w:t>
            </w:r>
          </w:p>
        </w:tc>
        <w:tc>
          <w:tcPr>
            <w:tcW w:type="dxa" w:w="2160"/>
          </w:tcPr>
          <w:p>
            <w:r/>
            <w:r>
              <w:t>Interfaz interna</w:t>
            </w:r>
          </w:p>
        </w:tc>
        <w:tc>
          <w:tcPr>
            <w:tcW w:type="dxa" w:w="2160"/>
          </w:tcPr>
          <w:p>
            <w:r/>
            <w:r>
              <w:t>Consultar reserva, asignar asiento (</w:t>
            </w:r>
            <w:r>
              <w:rPr>
                <w:rFonts w:ascii="Consolas" w:hAnsi="Consolas"/>
                <w:color w:val="C03030"/>
                <w:sz w:val="19"/>
              </w:rPr>
              <w:t>SeatAssignment</w:t>
            </w:r>
            <w:r>
              <w:t>), emitir tarjeta de embarque.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Administrador comercial</w:t>
            </w:r>
          </w:p>
        </w:tc>
        <w:tc>
          <w:tcPr>
            <w:tcW w:type="dxa" w:w="2160"/>
          </w:tcPr>
          <w:p>
            <w:r/>
            <w:r>
              <w:t>Gestiona el catálogo y consulta reportes.</w:t>
            </w:r>
          </w:p>
        </w:tc>
        <w:tc>
          <w:tcPr>
            <w:tcW w:type="dxa" w:w="2160"/>
          </w:tcPr>
          <w:p>
            <w:r/>
            <w:r>
              <w:t>Interfaz de administración</w:t>
            </w:r>
          </w:p>
        </w:tc>
        <w:tc>
          <w:tcPr>
            <w:tcW w:type="dxa" w:w="2160"/>
          </w:tcPr>
          <w:p>
            <w:r/>
            <w:r>
              <w:t>Alta/baja de rutas, vuelos programados, tarifas; consulta de reportes (ocupación, ingresos, cancelaciones) servidos desde la BD analítica.</w:t>
            </w:r>
          </w:p>
        </w:tc>
      </w:tr>
    </w:tbl>
    <w:p/>
    <w:p>
      <w:pPr>
        <w:pStyle w:val="Heading2"/>
      </w:pPr>
      <w:r>
        <w:t>0.4 Trazabilidad</w:t>
      </w:r>
    </w:p>
    <w:p>
      <w:r>
        <w:t>Cada requisito de este documento y de los siguientes lleva un identificador</w:t>
      </w:r>
    </w:p>
    <w:p>
      <w:r>
        <w:t>(</w:t>
      </w:r>
      <w:r>
        <w:rPr>
          <w:rFonts w:ascii="Consolas" w:hAnsi="Consolas"/>
          <w:color w:val="C03030"/>
          <w:sz w:val="19"/>
        </w:rPr>
        <w:t>FR-xx</w:t>
      </w:r>
      <w:r>
        <w:t xml:space="preserve">, </w:t>
      </w:r>
      <w:r>
        <w:rPr>
          <w:rFonts w:ascii="Consolas" w:hAnsi="Consolas"/>
          <w:color w:val="C03030"/>
          <w:sz w:val="19"/>
        </w:rPr>
        <w:t>NFR-xx</w:t>
      </w:r>
      <w:r>
        <w:t xml:space="preserve">, entidad </w:t>
      </w:r>
      <w:r>
        <w:rPr>
          <w:rFonts w:ascii="Consolas" w:hAnsi="Consolas"/>
          <w:color w:val="C03030"/>
          <w:sz w:val="19"/>
        </w:rPr>
        <w:t>E-xx</w:t>
      </w:r>
      <w:r>
        <w:t>). Las decisiones de arquitectura (5.4, 5.5) y de</w:t>
      </w:r>
    </w:p>
    <w:p>
      <w:r>
        <w:t xml:space="preserve">implementación (5.6, 5.7) </w:t>
      </w:r>
      <w:r>
        <w:rPr>
          <w:b/>
        </w:rPr>
        <w:t>citan explícitamente</w:t>
      </w:r>
      <w:r>
        <w:t xml:space="preserve"> el identificador del requisito</w:t>
      </w:r>
    </w:p>
    <w:p>
      <w:r>
        <w:t>que las origina, según exige la rúbrica de "Claridad y trazabilidad".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