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5.2 Requisitos no funcionales (NFR)</w:t>
      </w:r>
    </w:p>
    <w:p>
      <w:pPr>
        <w:ind w:left="360"/>
      </w:pPr>
      <w:r>
        <w:rPr>
          <w:i/>
          <w:color w:val="555555"/>
        </w:rPr>
        <w:t xml:space="preserve">Cada NFR tiene: </w:t>
      </w:r>
      <w:r>
        <w:rPr>
          <w:b/>
          <w:i/>
          <w:color w:val="555555"/>
        </w:rPr>
        <w:t>métrica o condición verificable</w:t>
      </w:r>
      <w:r>
        <w:rPr>
          <w:i/>
          <w:color w:val="555555"/>
        </w:rPr>
        <w:t xml:space="preserve">, el </w:t>
      </w:r>
      <w:r>
        <w:rPr>
          <w:b/>
          <w:i/>
          <w:color w:val="555555"/>
        </w:rPr>
        <w:t>riesgo de negocio</w:t>
      </w:r>
      <w:r>
        <w:rPr>
          <w:i/>
          <w:color w:val="555555"/>
        </w:rPr>
        <w:t xml:space="preserve"> que</w:t>
      </w:r>
    </w:p>
    <w:p>
      <w:pPr>
        <w:ind w:left="360"/>
      </w:pPr>
      <w:r>
        <w:rPr>
          <w:i/>
          <w:color w:val="555555"/>
        </w:rPr>
        <w:t xml:space="preserve">mitiga, y </w:t>
      </w:r>
      <w:r>
        <w:rPr>
          <w:b/>
          <w:i/>
          <w:color w:val="555555"/>
        </w:rPr>
        <w:t>cómo se verifica</w:t>
      </w:r>
      <w:r>
        <w:rPr>
          <w:i/>
          <w:color w:val="555555"/>
        </w:rPr>
        <w:t>. No se admiten formulaciones tipo "debe ser rápido".</w:t>
      </w:r>
    </w:p>
    <w:p>
      <w:pPr>
        <w:ind w:left="360"/>
      </w:pPr>
      <w:r>
        <w:rPr>
          <w:i/>
          <w:color w:val="555555"/>
        </w:rPr>
        <w:t xml:space="preserve">Referencias a FR en 01-requisitos-funcionales.md; supuestos </w:t>
      </w:r>
      <w:r>
        <w:rPr>
          <w:rFonts w:ascii="Consolas" w:hAnsi="Consolas"/>
          <w:i/>
          <w:color w:val="555555"/>
          <w:sz w:val="19"/>
        </w:rPr>
        <w:t>Sx</w:t>
      </w:r>
      <w:r>
        <w:rPr>
          <w:i/>
          <w:color w:val="555555"/>
        </w:rPr>
        <w:t xml:space="preserve"> en 00-contexto-supuestos.md.</w:t>
      </w:r>
    </w:p>
    <w:p>
      <w:pPr>
        <w:pStyle w:val="Heading2"/>
      </w:pPr>
      <w:r>
        <w:t>5.2.1 Rendimiento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Métrica verificable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Riesgo de negocio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Verificación</w:t>
            </w:r>
          </w:p>
        </w:tc>
      </w:tr>
      <w:tr>
        <w:tc>
          <w:tcPr>
            <w:tcW w:type="dxa" w:w="1728"/>
          </w:tcPr>
          <w:p>
            <w:r/>
            <w:r>
              <w:t>NFR-01</w:t>
            </w:r>
          </w:p>
        </w:tc>
        <w:tc>
          <w:tcPr>
            <w:tcW w:type="dxa" w:w="1728"/>
          </w:tcPr>
          <w:p>
            <w:r/>
            <w:r>
              <w:t xml:space="preserve">Búsqueda de vuelos </w:t>
            </w:r>
            <w:r>
              <w:rPr>
                <w:b/>
              </w:rPr>
              <w:t>directos</w:t>
            </w:r>
            <w:r>
              <w:t xml:space="preserve"> rápida.</w:t>
            </w:r>
          </w:p>
        </w:tc>
        <w:tc>
          <w:tcPr>
            <w:tcW w:type="dxa" w:w="1728"/>
          </w:tcPr>
          <w:p>
            <w:r/>
            <w:r>
              <w:t xml:space="preserve">Tiempo de respuesta </w:t>
            </w:r>
            <w:r>
              <w:rPr>
                <w:b/>
              </w:rPr>
              <w:t>p95 &lt; 800 ms</w:t>
            </w:r>
            <w:r>
              <w:t xml:space="preserve"> y p99 &lt; 1.5 s, con la BD cargada con 30 rutas y 90 días de instancias de vuelo, hasta 50 búsquedas concurrentes.</w:t>
            </w:r>
          </w:p>
        </w:tc>
        <w:tc>
          <w:tcPr>
            <w:tcW w:type="dxa" w:w="1728"/>
          </w:tcPr>
          <w:p>
            <w:r/>
            <w:r>
              <w:t>Búsqueda lenta → abandono de la compra → pérdida de ingresos, sobre todo en temporada alta.</w:t>
            </w:r>
          </w:p>
        </w:tc>
        <w:tc>
          <w:tcPr>
            <w:tcW w:type="dxa" w:w="1728"/>
          </w:tcPr>
          <w:p>
            <w:r/>
            <w:r>
              <w:t>Prueba de carga (</w:t>
            </w:r>
            <w:r>
              <w:rPr>
                <w:rFonts w:ascii="Consolas" w:hAnsi="Consolas"/>
                <w:color w:val="C03030"/>
                <w:sz w:val="19"/>
              </w:rPr>
              <w:t>locust</w:t>
            </w:r>
            <w:r>
              <w:t>/</w:t>
            </w:r>
            <w:r>
              <w:rPr>
                <w:rFonts w:ascii="Consolas" w:hAnsi="Consolas"/>
                <w:color w:val="C03030"/>
                <w:sz w:val="19"/>
              </w:rPr>
              <w:t>k6</w:t>
            </w:r>
            <w:r>
              <w:t xml:space="preserve">) contra </w:t>
            </w:r>
            <w:r>
              <w:rPr>
                <w:rFonts w:ascii="Consolas" w:hAnsi="Consolas"/>
                <w:color w:val="C03030"/>
                <w:sz w:val="19"/>
              </w:rPr>
              <w:t>GET /flights/search</w:t>
            </w:r>
            <w:r>
              <w:t>; se registran percentiles.</w:t>
            </w:r>
          </w:p>
        </w:tc>
      </w:tr>
      <w:tr>
        <w:tc>
          <w:tcPr>
            <w:tcW w:type="dxa" w:w="1728"/>
          </w:tcPr>
          <w:p>
            <w:r/>
            <w:r>
              <w:t>NFR-02</w:t>
            </w:r>
          </w:p>
        </w:tc>
        <w:tc>
          <w:tcPr>
            <w:tcW w:type="dxa" w:w="1728"/>
          </w:tcPr>
          <w:p>
            <w:r/>
            <w:r>
              <w:t xml:space="preserve">Búsqueda de itinerarios </w:t>
            </w:r>
            <w:r>
              <w:rPr>
                <w:b/>
              </w:rPr>
              <w:t>con escalas</w:t>
            </w:r>
            <w:r>
              <w:t xml:space="preserve"> aceptablemente rápida pese al mayor costo de cómputo.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p95 &lt; 1.5 s</w:t>
            </w:r>
            <w:r>
              <w:t xml:space="preserve"> para itinerarios de hasta 1 conexión (el enunciado pregunta si cambia con escalas: </w:t>
            </w:r>
            <w:r>
              <w:rPr>
                <w:b/>
              </w:rPr>
              <w:t>sí</w:t>
            </w:r>
            <w:r>
              <w:t>, se admite ~2× el presupuesto de la búsqueda directa).</w:t>
            </w:r>
          </w:p>
        </w:tc>
        <w:tc>
          <w:tcPr>
            <w:tcW w:type="dxa" w:w="1728"/>
          </w:tcPr>
          <w:p>
            <w:r/>
            <w:r>
              <w:t>Igual que NFR-01; además, timeouts en conexiones hacen que el usuario no vea rutas válidas.</w:t>
            </w:r>
          </w:p>
        </w:tc>
        <w:tc>
          <w:tcPr>
            <w:tcW w:type="dxa" w:w="1728"/>
          </w:tcPr>
          <w:p>
            <w:r/>
            <w:r>
              <w:t xml:space="preserve">Misma prueba de carga con parámetro de conexiones; índices sobre </w:t>
            </w:r>
            <w:r>
              <w:rPr>
                <w:rFonts w:ascii="Consolas" w:hAnsi="Consolas"/>
                <w:color w:val="C03030"/>
                <w:sz w:val="19"/>
              </w:rPr>
              <w:t>(route_id, departure_date)</w:t>
            </w:r>
            <w:r>
              <w:t xml:space="preserve"> y sobre aeropuertos de conexión.</w:t>
            </w:r>
          </w:p>
        </w:tc>
      </w:tr>
    </w:tbl>
    <w:p/>
    <w:p>
      <w:r>
        <w:rPr>
          <w:b/>
        </w:rPr>
        <w:t>Relación con la arquitectura:</w:t>
      </w:r>
      <w:r>
        <w:t xml:space="preserve"> NFR-01/02 sustentan la elección de </w:t>
      </w:r>
      <w:r>
        <w:rPr>
          <w:b/>
        </w:rPr>
        <w:t>SPA</w:t>
      </w:r>
      <w:r>
        <w:t xml:space="preserve"> (render en cliente, llamadas asíncronas a la API) y de índices específicos en la BD transaccional (ver 5.4/5.5).</w:t>
      </w:r>
    </w:p>
    <w:p>
      <w:pPr>
        <w:pStyle w:val="Heading2"/>
      </w:pPr>
      <w:r>
        <w:t>5.2.2 Consistencia / Concurrencia — *núcleo de la evaluación*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Métrica / condición verificable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Riesgo de negocio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Verificación</w:t>
            </w:r>
          </w:p>
        </w:tc>
      </w:tr>
      <w:tr>
        <w:tc>
          <w:tcPr>
            <w:tcW w:type="dxa" w:w="1728"/>
          </w:tcPr>
          <w:p>
            <w:r/>
            <w:r>
              <w:t>NFR-03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 sobreventa.</w:t>
            </w:r>
            <w:r>
              <w:t xml:space="preserve"> Si </w:t>
            </w:r>
            <w:r>
              <w:rPr>
                <w:i/>
              </w:rPr>
              <w:t>N</w:t>
            </w:r>
            <w:r>
              <w:t xml:space="preserve"> solicitudes intentan reservar simultáneamente el/los último(s) asiento(s) de un segmento, el sistema confirma </w:t>
            </w:r>
            <w:r>
              <w:rPr>
                <w:b/>
              </w:rPr>
              <w:t>exactamente</w:t>
            </w:r>
            <w:r>
              <w:t xml:space="preserve"> las que caben y </w:t>
            </w:r>
            <w:r>
              <w:rPr>
                <w:b/>
              </w:rPr>
              <w:t>rechaza el resto con HTTP 409</w:t>
            </w:r>
            <w:r>
              <w:t xml:space="preserve">; nunca </w:t>
            </w:r>
            <w:r>
              <w:rPr>
                <w:rFonts w:ascii="Consolas" w:hAnsi="Consolas"/>
                <w:color w:val="C03030"/>
                <w:sz w:val="19"/>
              </w:rPr>
              <w:t>seats_sold &gt; capacidad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t xml:space="preserve">Invariante tras cualquier ejecución concurrente: </w:t>
            </w:r>
            <w:r>
              <w:rPr>
                <w:rFonts w:ascii="Consolas" w:hAnsi="Consolas"/>
                <w:color w:val="C03030"/>
                <w:sz w:val="19"/>
              </w:rPr>
              <w:t>seats_sold + seats_held ≤ capacity</w:t>
            </w:r>
            <w:r>
              <w:t xml:space="preserve"> para todo </w:t>
            </w:r>
            <w:r>
              <w:rPr>
                <w:rFonts w:ascii="Consolas" w:hAnsi="Consolas"/>
                <w:color w:val="C03030"/>
                <w:sz w:val="19"/>
              </w:rPr>
              <w:t>SeatInventory</w:t>
            </w:r>
            <w:r>
              <w:t xml:space="preserve">. Con </w:t>
            </w:r>
            <w:r>
              <w:rPr>
                <w:i/>
              </w:rPr>
              <w:t>N</w:t>
            </w:r>
            <w:r>
              <w:t xml:space="preserve"> = 20 hilos compitiendo por 1 asiento → </w:t>
            </w:r>
            <w:r>
              <w:rPr>
                <w:b/>
              </w:rPr>
              <w:t>1 confirmación, 19 rechazos, 0 sobreventa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t xml:space="preserve">Vender un asiento inexistente obliga a </w:t>
            </w:r>
            <w:r>
              <w:rPr>
                <w:i/>
              </w:rPr>
              <w:t>denied boarding</w:t>
            </w:r>
            <w:r>
              <w:t>: compensación económica al pasajero, coste de reacomodo y daño reputacional. Es la regla dura del enunciado.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backend/tests/test_concurrencia.py</w:t>
            </w:r>
            <w:r>
              <w:t xml:space="preserve">: lanza </w:t>
            </w:r>
            <w:r>
              <w:rPr>
                <w:i/>
              </w:rPr>
              <w:t>N</w:t>
            </w:r>
            <w:r>
              <w:t xml:space="preserve"> clientes en paralelo contra </w:t>
            </w:r>
            <w:r>
              <w:rPr>
                <w:rFonts w:ascii="Consolas" w:hAnsi="Consolas"/>
                <w:color w:val="C03030"/>
                <w:sz w:val="19"/>
              </w:rPr>
              <w:t>POST /reservations</w:t>
            </w:r>
            <w:r>
              <w:t xml:space="preserve">; asserta 1 éxito, </w:t>
            </w:r>
            <w:r>
              <w:rPr>
                <w:i/>
              </w:rPr>
              <w:t>N</w:t>
            </w:r>
            <w:r>
              <w:t xml:space="preserve">−1 → 409, y consulta </w:t>
            </w:r>
            <w:r>
              <w:rPr>
                <w:rFonts w:ascii="Consolas" w:hAnsi="Consolas"/>
                <w:color w:val="C03030"/>
                <w:sz w:val="19"/>
              </w:rPr>
              <w:t>SeatInventory</w:t>
            </w:r>
            <w:r>
              <w:t xml:space="preserve"> para verificar el invariante. Evidencia (log + captura) en 06-implementacion-backend.md.</w:t>
            </w:r>
          </w:p>
        </w:tc>
      </w:tr>
      <w:tr>
        <w:tc>
          <w:tcPr>
            <w:tcW w:type="dxa" w:w="1728"/>
          </w:tcPr>
          <w:p>
            <w:r/>
            <w:r>
              <w:t>NFR-04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Atomicidad de la reserva multi-tramo (FR-04).</w:t>
            </w:r>
            <w:r>
              <w:t xml:space="preserve"> Una reserva de varios segmentos se confirma completa o no deja rastro.</w:t>
            </w:r>
          </w:p>
        </w:tc>
        <w:tc>
          <w:tcPr>
            <w:tcW w:type="dxa" w:w="1728"/>
          </w:tcPr>
          <w:p>
            <w:r/>
            <w:r>
              <w:t xml:space="preserve">Tras un fallo inyectado en el 2.º segmento, </w:t>
            </w:r>
            <w:r>
              <w:rPr>
                <w:rFonts w:ascii="Consolas" w:hAnsi="Consolas"/>
                <w:color w:val="C03030"/>
                <w:sz w:val="19"/>
              </w:rPr>
              <w:t>Reservation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Itinerary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Ticket</w:t>
            </w:r>
            <w:r>
              <w:t xml:space="preserve"> y los descuentos de inventario del 1.er segmento </w:t>
            </w:r>
            <w:r>
              <w:rPr>
                <w:b/>
              </w:rPr>
              <w:t>no existen</w:t>
            </w:r>
            <w:r>
              <w:t xml:space="preserve"> (rollback total).</w:t>
            </w:r>
          </w:p>
        </w:tc>
        <w:tc>
          <w:tcPr>
            <w:tcW w:type="dxa" w:w="1728"/>
          </w:tcPr>
          <w:p>
            <w:r/>
            <w:r>
              <w:t>Cobrar/retener inventario de un tramo sin el resto del viaje = pasajero varado, reembolsos manuales.</w:t>
            </w:r>
          </w:p>
        </w:tc>
        <w:tc>
          <w:tcPr>
            <w:tcW w:type="dxa" w:w="1728"/>
          </w:tcPr>
          <w:p>
            <w:r/>
            <w:r>
              <w:t>Test de integración con fallo simulado; se verifica el rollback en las 3 tablas y en el inventario.</w:t>
            </w:r>
          </w:p>
        </w:tc>
      </w:tr>
    </w:tbl>
    <w:p/>
    <w:p>
      <w:r>
        <w:rPr>
          <w:b/>
        </w:rPr>
        <w:t>Mecanismo elegido:</w:t>
      </w:r>
      <w:r>
        <w:t xml:space="preserve"> </w:t>
      </w:r>
      <w:r>
        <w:rPr>
          <w:b/>
        </w:rPr>
        <w:t>bloqueo pesimista</w:t>
      </w:r>
      <w:r>
        <w:t xml:space="preserve"> en PostgreSQL — dentro de la transacción de reserva se hace </w:t>
      </w:r>
      <w:r>
        <w:rPr>
          <w:rFonts w:ascii="Consolas" w:hAnsi="Consolas"/>
          <w:color w:val="C03030"/>
          <w:sz w:val="19"/>
        </w:rPr>
        <w:t>SELECT ... FOR UPDATE</w:t>
      </w:r>
      <w:r>
        <w:t xml:space="preserve"> sobre la(s) fila(s) de </w:t>
      </w:r>
      <w:r>
        <w:rPr>
          <w:rFonts w:ascii="Consolas" w:hAnsi="Consolas"/>
          <w:color w:val="C03030"/>
          <w:sz w:val="19"/>
        </w:rPr>
        <w:t>SeatInventory</w:t>
      </w:r>
      <w:r>
        <w:t xml:space="preserve"> de cada segmento, se valida la disponibilidad y se actualiza el contador antes del </w:t>
      </w:r>
      <w:r>
        <w:rPr>
          <w:rFonts w:ascii="Consolas" w:hAnsi="Consolas"/>
          <w:color w:val="C03030"/>
          <w:sz w:val="19"/>
        </w:rPr>
        <w:t>COMMIT</w:t>
      </w:r>
      <w:r>
        <w:t>. Justificación completa y alternativas descartadas (optimista, cola) en 04-arquitectura-backend.md.</w:t>
      </w:r>
    </w:p>
    <w:p>
      <w:pPr>
        <w:pStyle w:val="Heading2"/>
      </w:pPr>
      <w:r>
        <w:t>5.2.3 Disponibilidad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Métrica verificable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Riesgo de negocio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Verificación</w:t>
            </w:r>
          </w:p>
        </w:tc>
      </w:tr>
      <w:tr>
        <w:tc>
          <w:tcPr>
            <w:tcW w:type="dxa" w:w="1728"/>
          </w:tcPr>
          <w:p>
            <w:r/>
            <w:r>
              <w:t>NFR-05</w:t>
            </w:r>
          </w:p>
        </w:tc>
        <w:tc>
          <w:tcPr>
            <w:tcW w:type="dxa" w:w="1728"/>
          </w:tcPr>
          <w:p>
            <w:r/>
            <w:r>
              <w:t xml:space="preserve">El sistema traduce </w:t>
            </w:r>
            <w:r>
              <w:rPr>
                <w:i/>
              </w:rPr>
              <w:t>"no puede caerse en temporada alta"</w:t>
            </w:r>
            <w:r>
              <w:t xml:space="preserve"> como </w:t>
            </w:r>
            <w:r>
              <w:rPr>
                <w:b/>
              </w:rPr>
              <w:t>99.9% de disponibilidad mensual</w:t>
            </w:r>
            <w:r>
              <w:t xml:space="preserve"> del servicio de reservas (≤ ~43 min de indisponibilidad al mes).</w:t>
            </w:r>
          </w:p>
        </w:tc>
        <w:tc>
          <w:tcPr>
            <w:tcW w:type="dxa" w:w="1728"/>
          </w:tcPr>
          <w:p>
            <w:r/>
            <w:r>
              <w:t xml:space="preserve">Uptime medido sobre el endpoint de salud durante un mes ≥ 99.9%. Implica: RDS con backups automáticos, y </w:t>
            </w:r>
            <w:r>
              <w:rPr>
                <w:b/>
              </w:rPr>
              <w:t>camino a Multi-AZ</w:t>
            </w:r>
            <w:r>
              <w:t xml:space="preserve"> (RTO ≈ minutos) documentado como trade-off de costo.</w:t>
            </w:r>
          </w:p>
        </w:tc>
        <w:tc>
          <w:tcPr>
            <w:tcW w:type="dxa" w:w="1728"/>
          </w:tcPr>
          <w:p>
            <w:r/>
            <w:r>
              <w:t>Una caída durante un pico de ventas de temporada alta = ingresos perdidos irrecuperables (los asientos de esa fecha no se revenden luego).</w:t>
            </w:r>
          </w:p>
        </w:tc>
        <w:tc>
          <w:tcPr>
            <w:tcW w:type="dxa" w:w="1728"/>
          </w:tcPr>
          <w:p>
            <w:r/>
            <w:r>
              <w:t xml:space="preserve">En el MVP (Learner Lab) se despliega </w:t>
            </w:r>
            <w:r>
              <w:rPr>
                <w:b/>
              </w:rPr>
              <w:t>single-AZ</w:t>
            </w:r>
            <w:r>
              <w:t xml:space="preserve"> por costo y se documenta explícitamente qué cuesta y qué implica pasar a Multi-AZ (ver proyección en 5.7). Se mide el uptime del endpoint de salud durante la demo.</w:t>
            </w:r>
          </w:p>
        </w:tc>
      </w:tr>
    </w:tbl>
    <w:p/>
    <w:p>
      <w:r>
        <w:t xml:space="preserve">99% (≈ 7.2 h/mes) se descarta: 7 horas de caída incluyen posibles picos completos. 99.99% (≈ 4 min/mes) exige multi-región y automatización de failover: sobredimensionado y fuera del presupuesto del Learner Lab. </w:t>
      </w:r>
      <w:r>
        <w:rPr>
          <w:b/>
        </w:rPr>
        <w:t>99.9% es el punto de equilibrio</w:t>
      </w:r>
      <w:r>
        <w:t xml:space="preserve"> costo/complejidad para una aerolínea regional.</w:t>
      </w:r>
    </w:p>
    <w:p>
      <w:pPr>
        <w:pStyle w:val="Heading2"/>
      </w:pPr>
      <w:r>
        <w:t>5.2.4 Seguridad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Métrica / condición verificable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Riesgo de negocio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Verificación</w:t>
            </w:r>
          </w:p>
        </w:tc>
      </w:tr>
      <w:tr>
        <w:tc>
          <w:tcPr>
            <w:tcW w:type="dxa" w:w="1728"/>
          </w:tcPr>
          <w:p>
            <w:r/>
            <w:r>
              <w:t>NFR-06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Datos de pago fuera del sistema.</w:t>
            </w:r>
            <w:r>
              <w:t xml:space="preserve"> El sistema </w:t>
            </w:r>
            <w:r>
              <w:rPr>
                <w:b/>
              </w:rPr>
              <w:t>no almacena PAN ni CVV</w:t>
            </w:r>
            <w:r>
              <w:t>; solo guarda un token/referencia del proveedor y el estado del pago (S10).</w:t>
            </w:r>
          </w:p>
        </w:tc>
        <w:tc>
          <w:tcPr>
            <w:tcW w:type="dxa" w:w="1728"/>
          </w:tcPr>
          <w:p>
            <w:r/>
            <w:r>
              <w:t>Revisión del esquema: ninguna columna almacena datos de tarjeta. El flujo de pago se delega a la pasarela.</w:t>
            </w:r>
          </w:p>
        </w:tc>
        <w:tc>
          <w:tcPr>
            <w:tcW w:type="dxa" w:w="1728"/>
          </w:tcPr>
          <w:p>
            <w:r/>
            <w:r>
              <w:t xml:space="preserve">Almacenar datos de tarjeta implica cumplimiento </w:t>
            </w:r>
            <w:r>
              <w:rPr>
                <w:b/>
              </w:rPr>
              <w:t>PCI-DSS</w:t>
            </w:r>
            <w:r>
              <w:t xml:space="preserve"> completo (auditorías, segmentación) y multas ante brecha.</w:t>
            </w:r>
          </w:p>
        </w:tc>
        <w:tc>
          <w:tcPr>
            <w:tcW w:type="dxa" w:w="1728"/>
          </w:tcPr>
          <w:p>
            <w:r/>
            <w:r>
              <w:t xml:space="preserve">Inspección del modelo de datos (5.3) y del código de pagos (5.6); prueba de que </w:t>
            </w:r>
            <w:r>
              <w:rPr>
                <w:rFonts w:ascii="Consolas" w:hAnsi="Consolas"/>
                <w:color w:val="C03030"/>
                <w:sz w:val="19"/>
              </w:rPr>
              <w:t>POST /reservations/{code}/pay</w:t>
            </w:r>
            <w:r>
              <w:t xml:space="preserve"> solo maneja un token.</w:t>
            </w:r>
          </w:p>
        </w:tc>
      </w:tr>
      <w:tr>
        <w:tc>
          <w:tcPr>
            <w:tcW w:type="dxa" w:w="1728"/>
          </w:tcPr>
          <w:p>
            <w:r/>
            <w:r>
              <w:t>NFR-07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Protección de datos personales (PII) de pasajeros.</w:t>
            </w:r>
            <w:r>
              <w:t xml:space="preserve"> Cifrado </w:t>
            </w:r>
            <w:r>
              <w:rPr>
                <w:b/>
              </w:rPr>
              <w:t>en reposo</w:t>
            </w:r>
            <w:r>
              <w:t xml:space="preserve"> (RDS storage encryption / KMS) y </w:t>
            </w:r>
            <w:r>
              <w:rPr>
                <w:b/>
              </w:rPr>
              <w:t>en tránsito</w:t>
            </w:r>
            <w:r>
              <w:t xml:space="preserve"> (TLS 1.2+ en la API). Acceso a PII restringido por rol.</w:t>
            </w:r>
          </w:p>
        </w:tc>
        <w:tc>
          <w:tcPr>
            <w:tcW w:type="dxa" w:w="1728"/>
          </w:tcPr>
          <w:p>
            <w:r/>
            <w:r>
              <w:t xml:space="preserve">RDS con </w:t>
            </w:r>
            <w:r>
              <w:rPr>
                <w:rFonts w:ascii="Consolas" w:hAnsi="Consolas"/>
                <w:color w:val="C03030"/>
                <w:sz w:val="19"/>
              </w:rPr>
              <w:t>StorageEncrypted = true</w:t>
            </w:r>
            <w:r>
              <w:t>; la API solo acepta HTTPS; los endpoints de consulta exigen el código de reserva + apellido (no listables).</w:t>
            </w:r>
          </w:p>
        </w:tc>
        <w:tc>
          <w:tcPr>
            <w:tcW w:type="dxa" w:w="1728"/>
          </w:tcPr>
          <w:p>
            <w:r/>
            <w:r>
              <w:t>Fuga de datos personales → sanción bajo la Ley 1581 de 2012 (habeas data, Colombia) y pérdida de confianza.</w:t>
            </w:r>
          </w:p>
        </w:tc>
        <w:tc>
          <w:tcPr>
            <w:tcW w:type="dxa" w:w="1728"/>
          </w:tcPr>
          <w:p>
            <w:r/>
            <w:r>
              <w:t>Verificación de la configuración de RDS y del certificado TLS; prueba de que no existe endpoint que liste reservas o pasajeros sin credenciales.</w:t>
            </w:r>
          </w:p>
        </w:tc>
      </w:tr>
    </w:tbl>
    <w:p/>
    <w:p>
      <w:pPr>
        <w:pStyle w:val="Heading2"/>
      </w:pPr>
      <w:r>
        <w:t>5.2.5 Escalabilidad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Métrica / condición verificable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Riesgo de negocio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Verificación</w:t>
            </w:r>
          </w:p>
        </w:tc>
      </w:tr>
      <w:tr>
        <w:tc>
          <w:tcPr>
            <w:tcW w:type="dxa" w:w="1728"/>
          </w:tcPr>
          <w:p>
            <w:r/>
            <w:r>
              <w:t>NFR-08</w:t>
            </w:r>
          </w:p>
        </w:tc>
        <w:tc>
          <w:tcPr>
            <w:tcW w:type="dxa" w:w="1728"/>
          </w:tcPr>
          <w:p>
            <w:r/>
            <w:r>
              <w:t xml:space="preserve">El sistema soporta el crecimiento de </w:t>
            </w:r>
            <w:r>
              <w:rPr>
                <w:b/>
              </w:rPr>
              <w:t>+20 rutas/año</w:t>
            </w:r>
            <w:r>
              <w:t xml:space="preserve"> (S9) sin rediseño. Se identifica que el </w:t>
            </w:r>
            <w:r>
              <w:rPr>
                <w:b/>
              </w:rPr>
              <w:t>primer cuello de botella</w:t>
            </w:r>
            <w:r>
              <w:t xml:space="preserve"> es la </w:t>
            </w:r>
            <w:r>
              <w:rPr>
                <w:b/>
              </w:rPr>
              <w:t>contención del bloqueo pesimista sobre `SeatInventory`</w:t>
            </w:r>
            <w:r>
              <w:t xml:space="preserve"> en vuelos muy demandados, no el número de rutas.</w:t>
            </w:r>
          </w:p>
        </w:tc>
        <w:tc>
          <w:tcPr>
            <w:tcW w:type="dxa" w:w="1728"/>
          </w:tcPr>
          <w:p>
            <w:r/>
            <w:r>
              <w:t xml:space="preserve">Con el doble de rutas y de tráfico, el p95 de </w:t>
            </w:r>
            <w:r>
              <w:rPr>
                <w:rFonts w:ascii="Consolas" w:hAnsi="Consolas"/>
                <w:color w:val="C03030"/>
                <w:sz w:val="19"/>
              </w:rPr>
              <w:t>POST /reservations</w:t>
            </w:r>
            <w:r>
              <w:t xml:space="preserve"> se mantiene &lt; 1.5 s. El lock se toma </w:t>
            </w:r>
            <w:r>
              <w:rPr>
                <w:b/>
              </w:rPr>
              <w:t>por `flight_instance` + cabina</w:t>
            </w:r>
            <w:r>
              <w:t xml:space="preserve"> (fila específica), nunca global, de modo que reservas de vuelos distintos no se serializan entre sí.</w:t>
            </w:r>
          </w:p>
        </w:tc>
        <w:tc>
          <w:tcPr>
            <w:tcW w:type="dxa" w:w="1728"/>
          </w:tcPr>
          <w:p>
            <w:r/>
            <w:r>
              <w:t>Si toda reserva se serializara, en temporada alta se formaría una cola creciente → timeouts → ventas perdidas justo cuando más importa.</w:t>
            </w:r>
          </w:p>
        </w:tc>
        <w:tc>
          <w:tcPr>
            <w:tcW w:type="dxa" w:w="1728"/>
          </w:tcPr>
          <w:p>
            <w:r/>
            <w:r>
              <w:t xml:space="preserve">Prueba de carga con reservas repartidas entre muchos vuelos (contención baja) y concentradas en uno (contención alta); se comparan percentiles. Mitigaciones documentadas en 5.4: índice sobre </w:t>
            </w:r>
            <w:r>
              <w:rPr>
                <w:rFonts w:ascii="Consolas" w:hAnsi="Consolas"/>
                <w:color w:val="C03030"/>
                <w:sz w:val="19"/>
              </w:rPr>
              <w:t>SeatInventory(flight_instance_id, cabin)</w:t>
            </w:r>
            <w:r>
              <w:t>, transacción corta, y (a futuro) réplicas de lectura para la búsqueda.</w:t>
            </w:r>
          </w:p>
        </w:tc>
      </w:tr>
    </w:tbl>
    <w:p/>
    <w:p>
      <w:pPr>
        <w:pStyle w:val="Heading2"/>
      </w:pPr>
      <w:r>
        <w:t>5.2.6 Auditabilidad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Métrica / condición verificable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Riesgo de negocio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Verificación</w:t>
            </w:r>
          </w:p>
        </w:tc>
      </w:tr>
      <w:tr>
        <w:tc>
          <w:tcPr>
            <w:tcW w:type="dxa" w:w="1728"/>
          </w:tcPr>
          <w:p>
            <w:r/>
            <w:r>
              <w:t>NFR-09</w:t>
            </w:r>
          </w:p>
        </w:tc>
        <w:tc>
          <w:tcPr>
            <w:tcW w:type="dxa" w:w="1728"/>
          </w:tcPr>
          <w:p>
            <w:r/>
            <w:r>
              <w:t xml:space="preserve">Se puede </w:t>
            </w:r>
            <w:r>
              <w:rPr>
                <w:b/>
              </w:rPr>
              <w:t>reconstruir el historial completo</w:t>
            </w:r>
            <w:r>
              <w:t xml:space="preserve"> de cambios de cualquier reserva (creación, hold, pago, cancelación, cambio de fecha, asignación de asiento) con marca de tiempo y actor.</w:t>
            </w:r>
          </w:p>
        </w:tc>
        <w:tc>
          <w:tcPr>
            <w:tcW w:type="dxa" w:w="1728"/>
          </w:tcPr>
          <w:p>
            <w:r/>
            <w:r>
              <w:t xml:space="preserve">Tabla </w:t>
            </w:r>
            <w:r>
              <w:rPr>
                <w:rFonts w:ascii="Consolas" w:hAnsi="Consolas"/>
                <w:color w:val="C03030"/>
                <w:sz w:val="19"/>
              </w:rPr>
              <w:t>ReservationEvent</w:t>
            </w:r>
            <w:r>
              <w:t xml:space="preserve"> </w:t>
            </w:r>
            <w:r>
              <w:rPr>
                <w:b/>
              </w:rPr>
              <w:t>append-only</w:t>
            </w:r>
            <w:r>
              <w:t xml:space="preserve"> (sin </w:t>
            </w:r>
            <w:r>
              <w:rPr>
                <w:rFonts w:ascii="Consolas" w:hAnsi="Consolas"/>
                <w:color w:val="C03030"/>
                <w:sz w:val="19"/>
              </w:rPr>
              <w:t>UPDATE</w:t>
            </w:r>
            <w:r>
              <w:t>/</w:t>
            </w:r>
            <w:r>
              <w:rPr>
                <w:rFonts w:ascii="Consolas" w:hAnsi="Consolas"/>
                <w:color w:val="C03030"/>
                <w:sz w:val="19"/>
              </w:rPr>
              <w:t>DELETE</w:t>
            </w:r>
            <w:r>
              <w:t xml:space="preserve">); para toda reserva, la secuencia de eventos explica su estado actual. </w:t>
            </w:r>
            <w:r>
              <w:rPr>
                <w:rFonts w:ascii="Consolas" w:hAnsi="Consolas"/>
                <w:color w:val="C03030"/>
                <w:sz w:val="19"/>
              </w:rPr>
              <w:t>GET /reservations/{code}</w:t>
            </w:r>
            <w:r>
              <w:t xml:space="preserve"> incluye el historial (FR-13).</w:t>
            </w:r>
          </w:p>
        </w:tc>
        <w:tc>
          <w:tcPr>
            <w:tcW w:type="dxa" w:w="1728"/>
          </w:tcPr>
          <w:p>
            <w:r/>
            <w:r>
              <w:t>Disputas con pasajeros o agencias ("yo sí pagué", "nunca cancelé"), y necesidad de auditar las comisiones de agencia. Sin historial, cada disputa es palabra contra palabra.</w:t>
            </w:r>
          </w:p>
        </w:tc>
        <w:tc>
          <w:tcPr>
            <w:tcW w:type="dxa" w:w="1728"/>
          </w:tcPr>
          <w:p>
            <w:r/>
            <w:r>
              <w:t xml:space="preserve">Test que ejecuta un ciclo de vida completo de una reserva y verifica que cada transición generó su evento; intento de </w:t>
            </w:r>
            <w:r>
              <w:rPr>
                <w:rFonts w:ascii="Consolas" w:hAnsi="Consolas"/>
                <w:color w:val="C03030"/>
                <w:sz w:val="19"/>
              </w:rPr>
              <w:t>UPDATE</w:t>
            </w:r>
            <w:r>
              <w:t xml:space="preserve"> sobre </w:t>
            </w:r>
            <w:r>
              <w:rPr>
                <w:rFonts w:ascii="Consolas" w:hAnsi="Consolas"/>
                <w:color w:val="C03030"/>
                <w:sz w:val="19"/>
              </w:rPr>
              <w:t>ReservationEvent</w:t>
            </w:r>
            <w:r>
              <w:t xml:space="preserve"> debe fallar (permisos / trigger).</w:t>
            </w:r>
          </w:p>
        </w:tc>
      </w:tr>
    </w:tbl>
    <w:p/>
    <w:p>
      <w:pPr>
        <w:pStyle w:val="Heading2"/>
      </w:pPr>
      <w:r>
        <w:t>5.2.7 Resumen de trazabilidad NFR → decisión de arquitectura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NFR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Decisión que lo implementa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</w:tr>
      <w:tr>
        <w:tc>
          <w:tcPr>
            <w:tcW w:type="dxa" w:w="2880"/>
          </w:tcPr>
          <w:p>
            <w:r/>
            <w:r>
              <w:t>NFR-01, NFR-02</w:t>
            </w:r>
          </w:p>
        </w:tc>
        <w:tc>
          <w:tcPr>
            <w:tcW w:type="dxa" w:w="2880"/>
          </w:tcPr>
          <w:p>
            <w:r/>
            <w:r>
              <w:t>SPA + índices de búsqueda + (futuro) réplica de lectura</w:t>
            </w:r>
          </w:p>
        </w:tc>
        <w:tc>
          <w:tcPr>
            <w:tcW w:type="dxa" w:w="2880"/>
          </w:tcPr>
          <w:p>
            <w:r/>
            <w:r>
              <w:t>5.4, 5.5</w:t>
            </w:r>
          </w:p>
        </w:tc>
      </w:tr>
      <w:tr>
        <w:tc>
          <w:tcPr>
            <w:tcW w:type="dxa" w:w="2880"/>
          </w:tcPr>
          <w:p>
            <w:r/>
            <w:r>
              <w:t>NFR-03, NFR-04</w:t>
            </w:r>
          </w:p>
        </w:tc>
        <w:tc>
          <w:tcPr>
            <w:tcW w:type="dxa" w:w="2880"/>
          </w:tcPr>
          <w:p>
            <w:r/>
            <w:r>
              <w:t xml:space="preserve">Monolito con transacción ACID + </w:t>
            </w:r>
            <w:r>
              <w:rPr>
                <w:rFonts w:ascii="Consolas" w:hAnsi="Consolas"/>
                <w:color w:val="C03030"/>
                <w:sz w:val="19"/>
              </w:rPr>
              <w:t>SELECT FOR UPDATE</w:t>
            </w:r>
            <w:r>
              <w:t xml:space="preserve"> sobre </w:t>
            </w:r>
            <w:r>
              <w:rPr>
                <w:rFonts w:ascii="Consolas" w:hAnsi="Consolas"/>
                <w:color w:val="C03030"/>
                <w:sz w:val="19"/>
              </w:rPr>
              <w:t>SeatInventory</w:t>
            </w:r>
          </w:p>
        </w:tc>
        <w:tc>
          <w:tcPr>
            <w:tcW w:type="dxa" w:w="2880"/>
          </w:tcPr>
          <w:p>
            <w:r/>
            <w:r>
              <w:t>5.4, 5.6</w:t>
            </w:r>
          </w:p>
        </w:tc>
      </w:tr>
      <w:tr>
        <w:tc>
          <w:tcPr>
            <w:tcW w:type="dxa" w:w="2880"/>
          </w:tcPr>
          <w:p>
            <w:r/>
            <w:r>
              <w:t>NFR-05</w:t>
            </w:r>
          </w:p>
        </w:tc>
        <w:tc>
          <w:tcPr>
            <w:tcW w:type="dxa" w:w="2880"/>
          </w:tcPr>
          <w:p>
            <w:r/>
            <w:r>
              <w:t>RDS con backups; trade-off single-AZ vs Multi-AZ documentado con costo</w:t>
            </w:r>
          </w:p>
        </w:tc>
        <w:tc>
          <w:tcPr>
            <w:tcW w:type="dxa" w:w="2880"/>
          </w:tcPr>
          <w:p>
            <w:r/>
            <w:r>
              <w:t>5.7</w:t>
            </w:r>
          </w:p>
        </w:tc>
      </w:tr>
      <w:tr>
        <w:tc>
          <w:tcPr>
            <w:tcW w:type="dxa" w:w="2880"/>
          </w:tcPr>
          <w:p>
            <w:r/>
            <w:r>
              <w:t>NFR-06, NFR-07</w:t>
            </w:r>
          </w:p>
        </w:tc>
        <w:tc>
          <w:tcPr>
            <w:tcW w:type="dxa" w:w="2880"/>
          </w:tcPr>
          <w:p>
            <w:r/>
            <w:r>
              <w:t>Pago delegado (sin datos de tarjeta) + RDS encryption + TLS + endpoints no listables</w:t>
            </w:r>
          </w:p>
        </w:tc>
        <w:tc>
          <w:tcPr>
            <w:tcW w:type="dxa" w:w="2880"/>
          </w:tcPr>
          <w:p>
            <w:r/>
            <w:r>
              <w:t>5.3, 5.4, 5.6</w:t>
            </w:r>
          </w:p>
        </w:tc>
      </w:tr>
      <w:tr>
        <w:tc>
          <w:tcPr>
            <w:tcW w:type="dxa" w:w="2880"/>
          </w:tcPr>
          <w:p>
            <w:r/>
            <w:r>
              <w:t>NFR-08</w:t>
            </w:r>
          </w:p>
        </w:tc>
        <w:tc>
          <w:tcPr>
            <w:tcW w:type="dxa" w:w="2880"/>
          </w:tcPr>
          <w:p>
            <w:r/>
            <w:r>
              <w:t xml:space="preserve">Lock por fila </w:t>
            </w:r>
            <w:r>
              <w:rPr>
                <w:rFonts w:ascii="Consolas" w:hAnsi="Consolas"/>
                <w:color w:val="C03030"/>
                <w:sz w:val="19"/>
              </w:rPr>
              <w:t>flight_instance</w:t>
            </w:r>
            <w:r>
              <w:t>+cabina, transacción corta, índice dedicado</w:t>
            </w:r>
          </w:p>
        </w:tc>
        <w:tc>
          <w:tcPr>
            <w:tcW w:type="dxa" w:w="2880"/>
          </w:tcPr>
          <w:p>
            <w:r/>
            <w:r>
              <w:t>5.4</w:t>
            </w:r>
          </w:p>
        </w:tc>
      </w:tr>
      <w:tr>
        <w:tc>
          <w:tcPr>
            <w:tcW w:type="dxa" w:w="2880"/>
          </w:tcPr>
          <w:p>
            <w:r/>
            <w:r>
              <w:t>NFR-09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ReservationEvent</w:t>
            </w:r>
            <w:r>
              <w:t xml:space="preserve"> append-only</w:t>
            </w:r>
          </w:p>
        </w:tc>
        <w:tc>
          <w:tcPr>
            <w:tcW w:type="dxa" w:w="2880"/>
          </w:tcPr>
          <w:p>
            <w:r/>
            <w:r>
              <w:t>5.3, 5.6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