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5.4 Arquitectura del backend</w:t>
      </w:r>
    </w:p>
    <w:p>
      <w:pPr>
        <w:ind w:left="360"/>
      </w:pPr>
      <w:r>
        <w:rPr>
          <w:i/>
          <w:color w:val="555555"/>
        </w:rPr>
        <w:t>Diagrama editable: diagrams/04-arquitectura-backend.drawio (dos vistas: componentes y flujo de reserva con bloqueo).</w:t>
      </w:r>
    </w:p>
    <w:p>
      <w:pPr>
        <w:ind w:left="360"/>
      </w:pPr>
      <w:r>
        <w:rPr>
          <w:i/>
          <w:color w:val="555555"/>
        </w:rPr>
        <w:t>Cada decisión cita el requisito que la origina — FR en 01-requisitos-funcionales.md, NFR en 02-requisitos-no-funcionales.md, entidades en 03-modelo-entidad-relacion.md.</w:t>
      </w:r>
    </w:p>
    <w:p>
      <w:pPr>
        <w:pStyle w:val="Heading2"/>
      </w:pPr>
      <w:r>
        <w:t>5.4.1 Estilo arquitectónico: monolito modular</w:t>
      </w:r>
    </w:p>
    <w:p>
      <w:r>
        <w:rPr>
          <w:b/>
        </w:rPr>
        <w:t>Decisión.</w:t>
      </w:r>
      <w:r>
        <w:t xml:space="preserve"> Un </w:t>
      </w:r>
      <w:r>
        <w:rPr>
          <w:b/>
        </w:rPr>
        <w:t>único servicio</w:t>
      </w:r>
      <w:r>
        <w:t xml:space="preserve"> FastAPI (un despliegue, una base de datos</w:t>
      </w:r>
    </w:p>
    <w:p>
      <w:r>
        <w:t xml:space="preserve">transaccional) organizado en </w:t>
      </w:r>
      <w:r>
        <w:rPr>
          <w:b/>
        </w:rPr>
        <w:t>módulos internos</w:t>
      </w:r>
      <w:r>
        <w:t xml:space="preserve"> con fronteras claras: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 que cubre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catalog</w:t>
            </w:r>
          </w:p>
        </w:tc>
        <w:tc>
          <w:tcPr>
            <w:tcW w:type="dxa" w:w="2880"/>
          </w:tcPr>
          <w:p>
            <w:r/>
            <w:r>
              <w:t>Aeropuertos, rutas, aeronaves, vuelos programados, generación de instancias, tarifas.</w:t>
            </w:r>
          </w:p>
        </w:tc>
        <w:tc>
          <w:tcPr>
            <w:tcW w:type="dxa" w:w="2880"/>
          </w:tcPr>
          <w:p>
            <w:r/>
            <w:r>
              <w:t>FR-15, FR-16, FR-17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search</w:t>
            </w:r>
          </w:p>
        </w:tc>
        <w:tc>
          <w:tcPr>
            <w:tcW w:type="dxa" w:w="2880"/>
          </w:tcPr>
          <w:p>
            <w:r/>
            <w:r>
              <w:t>Búsqueda de vuelos directos y con escalas, cálculo de precio por tarifa.</w:t>
            </w:r>
          </w:p>
        </w:tc>
        <w:tc>
          <w:tcPr>
            <w:tcW w:type="dxa" w:w="2880"/>
          </w:tcPr>
          <w:p>
            <w:r/>
            <w:r>
              <w:t>FR-01, FR-02, FR-03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booking</w:t>
            </w:r>
          </w:p>
        </w:tc>
        <w:tc>
          <w:tcPr>
            <w:tcW w:type="dxa" w:w="2880"/>
          </w:tcPr>
          <w:p>
            <w:r/>
            <w:r>
              <w:t xml:space="preserve">Creación de reserva (hold), confirmación, consulta, cancelación, cambio de fecha, comisión de agencia. </w:t>
            </w:r>
            <w:r>
              <w:rPr>
                <w:b/>
              </w:rPr>
              <w:t>Dueño del control de concurrencia.</w:t>
            </w:r>
          </w:p>
        </w:tc>
        <w:tc>
          <w:tcPr>
            <w:tcW w:type="dxa" w:w="2880"/>
          </w:tcPr>
          <w:p>
            <w:r/>
            <w:r>
              <w:t>FR-04 … FR-12, FR-11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payments</w:t>
            </w:r>
          </w:p>
        </w:tc>
        <w:tc>
          <w:tcPr>
            <w:tcW w:type="dxa" w:w="2880"/>
          </w:tcPr>
          <w:p>
            <w:r/>
            <w:r>
              <w:t>Orquestación del pago contra la pasarela externa (stub en el MVP).</w:t>
            </w:r>
          </w:p>
        </w:tc>
        <w:tc>
          <w:tcPr>
            <w:tcW w:type="dxa" w:w="2880"/>
          </w:tcPr>
          <w:p>
            <w:r/>
            <w:r>
              <w:t>FR-08, FR-09 (reembolso)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checkin</w:t>
            </w:r>
          </w:p>
        </w:tc>
        <w:tc>
          <w:tcPr>
            <w:tcW w:type="dxa" w:w="2880"/>
          </w:tcPr>
          <w:p>
            <w:r/>
            <w:r>
              <w:t>Asignación de asiento nominal.</w:t>
            </w:r>
          </w:p>
        </w:tc>
        <w:tc>
          <w:tcPr>
            <w:tcW w:type="dxa" w:w="2880"/>
          </w:tcPr>
          <w:p>
            <w:r/>
            <w:r>
              <w:t>FR-14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audit</w:t>
            </w:r>
          </w:p>
        </w:tc>
        <w:tc>
          <w:tcPr>
            <w:tcW w:type="dxa" w:w="2880"/>
          </w:tcPr>
          <w:p>
            <w:r/>
            <w:r>
              <w:t xml:space="preserve">Escritura de </w:t>
            </w:r>
            <w:r>
              <w:rPr>
                <w:rFonts w:ascii="Consolas" w:hAnsi="Consolas"/>
                <w:color w:val="C03030"/>
                <w:sz w:val="19"/>
              </w:rPr>
              <w:t>EVENTO_RESERVA</w:t>
            </w:r>
            <w:r>
              <w:t xml:space="preserve"> (append-only) — invocado por </w:t>
            </w:r>
            <w:r>
              <w:rPr>
                <w:rFonts w:ascii="Consolas" w:hAnsi="Consolas"/>
                <w:color w:val="C03030"/>
                <w:sz w:val="19"/>
              </w:rPr>
              <w:t>booking</w:t>
            </w:r>
            <w:r>
              <w:t xml:space="preserve"> y </w:t>
            </w:r>
            <w:r>
              <w:rPr>
                <w:rFonts w:ascii="Consolas" w:hAnsi="Consolas"/>
                <w:color w:val="C03030"/>
                <w:sz w:val="19"/>
              </w:rPr>
              <w:t>checkin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FR-13, NFR-09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jobs</w:t>
            </w:r>
          </w:p>
        </w:tc>
        <w:tc>
          <w:tcPr>
            <w:tcW w:type="dxa" w:w="2880"/>
          </w:tcPr>
          <w:p>
            <w:r/>
            <w:r>
              <w:t>Tarea periódica de expiración de holds.</w:t>
            </w:r>
          </w:p>
        </w:tc>
        <w:tc>
          <w:tcPr>
            <w:tcW w:type="dxa" w:w="2880"/>
          </w:tcPr>
          <w:p>
            <w:r/>
            <w:r>
              <w:t>FR-07</w:t>
            </w:r>
          </w:p>
        </w:tc>
      </w:tr>
    </w:tbl>
    <w:p/>
    <w:p>
      <w:r>
        <w:rPr>
          <w:b/>
        </w:rPr>
        <w:t>Justificación (trazable a NFR).</w:t>
      </w:r>
    </w:p>
    <w:p>
      <w:pPr>
        <w:pStyle w:val="ListBullet"/>
      </w:pPr>
      <w:r>
        <w:rPr>
          <w:b/>
        </w:rPr>
        <w:t>NFR-03 / NFR-04 (no sobreventa, atomicidad multi-tramo).</w:t>
      </w:r>
      <w:r>
        <w:t xml:space="preserve"> El invariante de</w:t>
      </w:r>
    </w:p>
    <w:p>
      <w:r>
        <w:t>inventario y la reserva multi-segmento se resuelven con **una transacción ACID</w:t>
      </w:r>
    </w:p>
    <w:p>
      <w:r>
        <w:t>local** (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+ </w:t>
      </w:r>
      <w:r>
        <w:rPr>
          <w:rFonts w:ascii="Consolas" w:hAnsi="Consolas"/>
          <w:color w:val="C03030"/>
          <w:sz w:val="19"/>
        </w:rPr>
        <w:t>COMMIT</w:t>
      </w:r>
      <w:r>
        <w:t>). Con microservicios separados</w:t>
      </w:r>
    </w:p>
    <w:p>
      <w:r>
        <w:t>(búsqueda / reservas / pagos con bases de datos propias) haría falta una **saga</w:t>
      </w:r>
    </w:p>
    <w:p>
      <w:r>
        <w:t>distribuida** con compensaciones para lograr lo mismo: más complejidad, más</w:t>
      </w:r>
    </w:p>
    <w:p>
      <w:r>
        <w:t>modos de fallo, y una ventana en la que el inventario puede quedar inconsistente.</w:t>
      </w:r>
    </w:p>
    <w:p>
      <w:r>
        <w:t xml:space="preserve">Para una aerolínea </w:t>
      </w:r>
      <w:r>
        <w:rPr>
          <w:b/>
        </w:rPr>
        <w:t>regional</w:t>
      </w:r>
      <w:r>
        <w:t xml:space="preserve"> (S9: ~10–30 rutas) el monolito es suficiente y</w:t>
      </w:r>
    </w:p>
    <w:p>
      <w:r>
        <w:t>correcto.</w:t>
      </w:r>
    </w:p>
    <w:p>
      <w:pPr>
        <w:pStyle w:val="ListBullet"/>
      </w:pPr>
      <w:r>
        <w:rPr>
          <w:b/>
        </w:rPr>
        <w:t>NFR-08 (escalabilidad).</w:t>
      </w:r>
      <w:r>
        <w:t xml:space="preserve"> El primer cuello de botella identificado no es el</w:t>
      </w:r>
    </w:p>
    <w:p>
      <w:r>
        <w:t xml:space="preserve">número de rutas sino la </w:t>
      </w:r>
      <w:r>
        <w:rPr>
          <w:b/>
        </w:rPr>
        <w:t>contención del lock sobre `INVENTARIO_ASIENTOS`</w:t>
      </w:r>
      <w:r>
        <w:t xml:space="preserve"> en</w:t>
      </w:r>
    </w:p>
    <w:p>
      <w:r>
        <w:t>vuelos concretos. Separar en servicios no elimina esa contención (el lock sigue</w:t>
      </w:r>
    </w:p>
    <w:p>
      <w:r>
        <w:t>siendo por fila de inventario); solo añade latencia de red. La mitigación real</w:t>
      </w:r>
    </w:p>
    <w:p>
      <w:r>
        <w:t xml:space="preserve">—lock por </w:t>
      </w:r>
      <w:r>
        <w:rPr>
          <w:rFonts w:ascii="Consolas" w:hAnsi="Consolas"/>
          <w:color w:val="C03030"/>
          <w:sz w:val="19"/>
        </w:rPr>
        <w:t>(id_instancia_vuelo, cabina)</w:t>
      </w:r>
      <w:r>
        <w:t>, transacción corta, índice dedicado—</w:t>
      </w:r>
    </w:p>
    <w:p>
      <w:r>
        <w:t>vive dentro del monolito.</w:t>
      </w:r>
    </w:p>
    <w:p>
      <w:pPr>
        <w:pStyle w:val="ListBullet"/>
      </w:pPr>
      <w:r>
        <w:rPr>
          <w:b/>
        </w:rPr>
        <w:t>Claridad y trazabilidad (rúbrica).</w:t>
      </w:r>
      <w:r>
        <w:t xml:space="preserve"> Módulos con fronteras explícitas permiten,</w:t>
      </w:r>
    </w:p>
    <w:p>
      <w:r>
        <w:t xml:space="preserve">si el negocio crece, extraer </w:t>
      </w:r>
      <w:r>
        <w:rPr>
          <w:rFonts w:ascii="Consolas" w:hAnsi="Consolas"/>
          <w:color w:val="C03030"/>
          <w:sz w:val="19"/>
        </w:rPr>
        <w:t>search</w:t>
      </w:r>
      <w:r>
        <w:t xml:space="preserve"> o </w:t>
      </w:r>
      <w:r>
        <w:rPr>
          <w:rFonts w:ascii="Consolas" w:hAnsi="Consolas"/>
          <w:color w:val="C03030"/>
          <w:sz w:val="19"/>
        </w:rPr>
        <w:t>payments</w:t>
      </w:r>
      <w:r>
        <w:t xml:space="preserve"> a un servicio propio sin</w:t>
      </w:r>
    </w:p>
    <w:p>
      <w:r>
        <w:t>reescribir el núcleo. La decisión es reversible.</w:t>
      </w:r>
    </w:p>
    <w:p>
      <w:r>
        <w:rPr>
          <w:b/>
        </w:rPr>
        <w:t>Alternativa considerada y descartada:</w:t>
      </w:r>
      <w:r>
        <w:t xml:space="preserve"> microservicios desde el inicio</w:t>
      </w:r>
    </w:p>
    <w:p>
      <w:r>
        <w:t>(search-service, booking-service, payment-service). Descartada por el coste de la</w:t>
      </w:r>
    </w:p>
    <w:p>
      <w:r>
        <w:t>saga para garantizar NFR-03/04 y por el presupuesto del Learner Lab (más</w:t>
      </w:r>
    </w:p>
    <w:p>
      <w:r>
        <w:t>instancias, más red). Se documenta como camino de evolución.</w:t>
      </w:r>
    </w:p>
    <w:p>
      <w:pPr>
        <w:pStyle w:val="Heading2"/>
      </w:pPr>
      <w:r>
        <w:t>5.4.2 Control de concurrencia contra la sobreventa</w:t>
      </w:r>
    </w:p>
    <w:p>
      <w:r>
        <w:rPr>
          <w:b/>
        </w:rPr>
        <w:t>Decisión: bloqueo pesimista en PostgreSQL</w:t>
      </w:r>
      <w:r>
        <w:t xml:space="preserve"> —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la(s)</w:t>
      </w:r>
    </w:p>
    <w:p>
      <w:r>
        <w:t xml:space="preserve">fila(s) de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implicadas, dentro de la transacción de reserva.</w:t>
      </w:r>
    </w:p>
    <w:p>
      <w:pPr>
        <w:pStyle w:val="Heading3"/>
      </w:pPr>
      <w:r>
        <w:t>Flujo de `POST /reservations` (crea reserva en estado `RETENIDA`)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BEGIN;  -- isolation level READ COMMITTED (suficiente con FOR UPDATE)</w:t>
        <w:br/>
        <w:br/>
        <w:t>-- 1. Bloquear el inventario de CADA segmento del itinerario, en orden</w:t>
        <w:br/>
        <w:t>--    determinista (por id_instancia_vuelo asc) para evitar deadlocks.</w:t>
        <w:br/>
        <w:t>SELECT id_inventario_asientos, asientos_totales, asientos_vendidos, asientos_retenidos</w:t>
        <w:br/>
        <w:t xml:space="preserve">  FROM inventario_asientos</w:t>
        <w:br/>
        <w:t xml:space="preserve"> WHERE id_instancia_vuelo = ANY(:ids) AND cabina = :cabina</w:t>
        <w:br/>
        <w:t xml:space="preserve"> ORDER BY id_instancia_vuelo</w:t>
        <w:br/>
        <w:t xml:space="preserve">   FOR UPDATE;                       -- &lt;-- serializa a los competidores por esas filas</w:t>
        <w:br/>
        <w:br/>
        <w:t>-- 2. Validar disponibilidad de cada fila</w:t>
        <w:br/>
        <w:t>--    asientos_totales - asientos_vendidos - asientos_retenidos &gt;= :num_pasajeros</w:t>
        <w:br/>
        <w:t>--    Si alguna falla -&gt; ROLLBACK y responder HTTP 409 (NFR-03).</w:t>
        <w:br/>
        <w:br/>
        <w:t>-- 3. Aplicar el hold en cada fila</w:t>
        <w:br/>
        <w:t>UPDATE inventario_asientos</w:t>
        <w:br/>
        <w:t xml:space="preserve">   SET asientos_retenidos = asientos_retenidos + :num_pasajeros</w:t>
        <w:br/>
        <w:t xml:space="preserve"> WHERE id_inventario_asientos = ANY(:locked_ids);</w:t>
        <w:br/>
        <w:t>--    El CHECK (vendidos + retenidos &lt;= totales) es la ultima barrera del motor.</w:t>
        <w:br/>
        <w:br/>
        <w:t>-- 4. Crear RESERVA (estado=RETENIDA, retenida_hasta = now() + interval '15 min'),</w:t>
        <w:br/>
        <w:t>--    ITINERARIO, SEGMENTO_ITINERARIO (x N), RESERVA_PASAJERO (x M).</w:t>
        <w:br/>
        <w:t>-- 5. Insertar EVENTO_RESERVA (tipo_evento = 'CREADA' / 'RETENIDA').  (NFR-09)</w:t>
        <w:br/>
        <w:br/>
        <w:t>COMMIT;   -- libera los locks</w:t>
      </w:r>
    </w:p>
    <w:p>
      <w:pPr>
        <w:pStyle w:val="ListBullet"/>
      </w:pPr>
      <w:r>
        <w:rPr>
          <w:b/>
        </w:rPr>
        <w:t>Orden determinista de bloqueo</w:t>
      </w:r>
      <w:r>
        <w:t xml:space="preserve"> (por </w:t>
      </w:r>
      <w:r>
        <w:rPr>
          <w:rFonts w:ascii="Consolas" w:hAnsi="Consolas"/>
          <w:color w:val="C03030"/>
          <w:sz w:val="19"/>
        </w:rPr>
        <w:t>id_instancia_vuelo</w:t>
      </w:r>
      <w:r>
        <w:t>): dos reservas</w:t>
      </w:r>
    </w:p>
    <w:p>
      <w:r>
        <w:t>multi-tramo que compartan dos vuelos en orden distinto no se bloquean mutuamente</w:t>
      </w:r>
    </w:p>
    <w:p>
      <w:r>
        <w:t>(previene deadlock).</w:t>
      </w:r>
    </w:p>
    <w:p>
      <w:pPr>
        <w:pStyle w:val="ListBullet"/>
      </w:pPr>
      <w:r>
        <w:rPr>
          <w:b/>
        </w:rPr>
        <w:t>Transacción corta</w:t>
      </w:r>
      <w:r>
        <w:t xml:space="preserve">: entre </w:t>
      </w:r>
      <w:r>
        <w:rPr>
          <w:rFonts w:ascii="Consolas" w:hAnsi="Consolas"/>
          <w:color w:val="C03030"/>
          <w:sz w:val="19"/>
        </w:rPr>
        <w:t>BEGIN</w:t>
      </w:r>
      <w:r>
        <w:t xml:space="preserve"> y </w:t>
      </w:r>
      <w:r>
        <w:rPr>
          <w:rFonts w:ascii="Consolas" w:hAnsi="Consolas"/>
          <w:color w:val="C03030"/>
          <w:sz w:val="19"/>
        </w:rPr>
        <w:t>COMMIT</w:t>
      </w:r>
      <w:r>
        <w:t xml:space="preserve"> no hay llamadas externas (el pago</w:t>
      </w:r>
    </w:p>
    <w:p>
      <w:r>
        <w:t>es un paso posterior). Minimiza el tiempo de lock → menos contención (NFR-08).</w:t>
      </w:r>
    </w:p>
    <w:p>
      <w:pPr>
        <w:pStyle w:val="ListBullet"/>
      </w:pPr>
      <w:r>
        <w:rPr>
          <w:b/>
        </w:rPr>
        <w:t>Confirmación (`POST /reservations/{code}/pay`)</w:t>
      </w:r>
      <w:r>
        <w:t>: al aprobar el pago,</w:t>
      </w:r>
    </w:p>
    <w:p>
      <w:r>
        <w:t xml:space="preserve">transacción que hace </w:t>
      </w:r>
      <w:r>
        <w:rPr>
          <w:rFonts w:ascii="Consolas" w:hAnsi="Consolas"/>
          <w:color w:val="C03030"/>
          <w:sz w:val="19"/>
        </w:rPr>
        <w:t>FOR UPDATE</w:t>
      </w:r>
      <w:r>
        <w:t xml:space="preserve"> de las mismas filas, mueve</w:t>
      </w:r>
    </w:p>
    <w:p>
      <w:r>
        <w:rPr>
          <w:rFonts w:ascii="Consolas" w:hAnsi="Consolas"/>
          <w:color w:val="C03030"/>
          <w:sz w:val="19"/>
        </w:rPr>
        <w:t>asientos_retenidos → asientos_vendidos</w:t>
      </w:r>
      <w:r>
        <w:t xml:space="preserve">, pone </w:t>
      </w:r>
      <w:r>
        <w:rPr>
          <w:rFonts w:ascii="Consolas" w:hAnsi="Consolas"/>
          <w:color w:val="C03030"/>
          <w:sz w:val="19"/>
        </w:rPr>
        <w:t>RESERVA.estado = CONFIRMADA</w:t>
      </w:r>
      <w:r>
        <w:t>,</w:t>
      </w:r>
    </w:p>
    <w:p>
      <w:r>
        <w:t xml:space="preserve">emite </w:t>
      </w:r>
      <w:r>
        <w:rPr>
          <w:rFonts w:ascii="Consolas" w:hAnsi="Consolas"/>
          <w:color w:val="C03030"/>
          <w:sz w:val="19"/>
        </w:rPr>
        <w:t>BILLETE</w:t>
      </w:r>
      <w:r>
        <w:t xml:space="preserve"> por pasajero-segmento y registra el evento.</w:t>
      </w:r>
    </w:p>
    <w:p>
      <w:pPr>
        <w:pStyle w:val="ListBullet"/>
      </w:pPr>
      <w:r>
        <w:rPr>
          <w:b/>
        </w:rPr>
        <w:t>Expiración (`jobs`, FR-07)</w:t>
      </w:r>
      <w:r>
        <w:t xml:space="preserve">: cada minuto, por cada reserva </w:t>
      </w:r>
      <w:r>
        <w:rPr>
          <w:rFonts w:ascii="Consolas" w:hAnsi="Consolas"/>
          <w:color w:val="C03030"/>
          <w:sz w:val="19"/>
        </w:rPr>
        <w:t>RETENIDA</w:t>
      </w:r>
      <w:r>
        <w:t xml:space="preserve"> con</w:t>
      </w:r>
    </w:p>
    <w:p>
      <w:r>
        <w:rPr>
          <w:rFonts w:ascii="Consolas" w:hAnsi="Consolas"/>
          <w:color w:val="C03030"/>
          <w:sz w:val="19"/>
        </w:rPr>
        <w:t>retenida_hasta &lt; now()</w:t>
      </w:r>
      <w:r>
        <w:t xml:space="preserve">, transacción con </w:t>
      </w:r>
      <w:r>
        <w:rPr>
          <w:rFonts w:ascii="Consolas" w:hAnsi="Consolas"/>
          <w:color w:val="C03030"/>
          <w:sz w:val="19"/>
        </w:rPr>
        <w:t>FOR UPDATE</w:t>
      </w:r>
      <w:r>
        <w:t xml:space="preserve"> que decrementa</w:t>
      </w:r>
    </w:p>
    <w:p>
      <w:r>
        <w:rPr>
          <w:rFonts w:ascii="Consolas" w:hAnsi="Consolas"/>
          <w:color w:val="C03030"/>
          <w:sz w:val="19"/>
        </w:rPr>
        <w:t>asientos_retenidos</w:t>
      </w:r>
      <w:r>
        <w:t xml:space="preserve"> y marca </w:t>
      </w:r>
      <w:r>
        <w:rPr>
          <w:rFonts w:ascii="Consolas" w:hAnsi="Consolas"/>
          <w:color w:val="C03030"/>
          <w:sz w:val="19"/>
        </w:rPr>
        <w:t>EXPIRED</w:t>
      </w:r>
      <w:r>
        <w:t xml:space="preserve"> + evento.</w:t>
      </w:r>
    </w:p>
    <w:p>
      <w:pPr>
        <w:pStyle w:val="Heading3"/>
      </w:pPr>
      <w:r>
        <w:t>Alternativas consideradas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Por qué NO se eligió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Bloqueo optimista</w:t>
            </w:r>
            <w:r>
              <w:t xml:space="preserve"> (columna </w:t>
            </w:r>
            <w:r>
              <w:rPr>
                <w:rFonts w:ascii="Consolas" w:hAnsi="Consolas"/>
                <w:color w:val="C03030"/>
                <w:sz w:val="19"/>
              </w:rPr>
              <w:t>version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UPDATE ... WHERE version = X</w:t>
            </w:r>
            <w:r>
              <w:t>, reintento en conflicto)</w:t>
            </w:r>
          </w:p>
        </w:tc>
        <w:tc>
          <w:tcPr>
            <w:tcW w:type="dxa" w:w="4320"/>
          </w:tcPr>
          <w:p>
            <w:r/>
            <w:r>
              <w:t xml:space="preserve">Funciona, y la columna </w:t>
            </w:r>
            <w:r>
              <w:rPr>
                <w:rFonts w:ascii="Consolas" w:hAnsi="Consolas"/>
                <w:color w:val="C03030"/>
                <w:sz w:val="19"/>
              </w:rPr>
              <w:t>version</w:t>
            </w:r>
            <w:r>
              <w:t xml:space="preserve"> ya existe en el modelo por si se necesita. Se descartó para el MVP porque </w:t>
            </w:r>
            <w:r>
              <w:rPr>
                <w:b/>
              </w:rPr>
              <w:t>bajo alta contención</w:t>
            </w:r>
            <w:r>
              <w:t xml:space="preserve"> (el escenario del enunciado: todos peleando por el último asiento en temporada alta) degenera en muchos reintentos y retrasa la respuesta justo en el peor momento. El pesimista da un comportamiento más predecible y es </w:t>
            </w:r>
            <w:r>
              <w:rPr>
                <w:b/>
              </w:rPr>
              <w:t>más fácil de demostrar</w:t>
            </w:r>
            <w:r>
              <w:t xml:space="preserve"> en la prueba de concurrencia de 5.6.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Cola que serializa por vuelo</w:t>
            </w:r>
            <w:r>
              <w:t xml:space="preserve"> (SQS + worker, una reserva a la vez por </w:t>
            </w:r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Serializa correctamente, pero introduce </w:t>
            </w:r>
            <w:r>
              <w:rPr>
                <w:b/>
              </w:rPr>
              <w:t>procesamiento asíncrono</w:t>
            </w:r>
            <w:r>
              <w:t>: el usuario no obtiene respuesta inmediata de si su reserva se confirmó, hace falta polling o webhooks, y añade piezas de infraestructura (cola, worker, dead-letter) difíciles de justificar en el Learner Lab para un MVP. Es la evolución natural si el volumen crece mucho (NFR-08), y se documenta como tal.</w:t>
            </w:r>
          </w:p>
        </w:tc>
      </w:tr>
    </w:tbl>
    <w:p/>
    <w:p>
      <w:r>
        <w:rPr>
          <w:b/>
        </w:rPr>
        <w:t>Cómo se verifica (enlace a 5.6):</w:t>
      </w:r>
      <w:r>
        <w:t xml:space="preserve"> </w:t>
      </w:r>
      <w:r>
        <w:rPr>
          <w:rFonts w:ascii="Consolas" w:hAnsi="Consolas"/>
          <w:color w:val="C03030"/>
          <w:sz w:val="19"/>
        </w:rPr>
        <w:t>backend/tests/test_concurrencia.py</w:t>
      </w:r>
      <w:r>
        <w:t xml:space="preserve"> lanza</w:t>
      </w:r>
    </w:p>
    <w:p>
      <w:r>
        <w:t xml:space="preserve">N clientes concurrentes contra </w:t>
      </w:r>
      <w:r>
        <w:rPr>
          <w:rFonts w:ascii="Consolas" w:hAnsi="Consolas"/>
          <w:color w:val="C03030"/>
          <w:sz w:val="19"/>
        </w:rPr>
        <w:t>POST /reservations</w:t>
      </w:r>
      <w:r>
        <w:t xml:space="preserve"> por el último asiento y</w:t>
      </w:r>
    </w:p>
    <w:p>
      <w:r>
        <w:t>comprueba: 1 éxito, N−1 respuestas 409, e invariante</w:t>
      </w:r>
    </w:p>
    <w:p>
      <w:r>
        <w:rPr>
          <w:rFonts w:ascii="Consolas" w:hAnsi="Consolas"/>
          <w:color w:val="C03030"/>
          <w:sz w:val="19"/>
        </w:rPr>
        <w:t>asientos_vendidos + asientos_retenidos ≤ asientos_totales</w:t>
      </w:r>
      <w:r>
        <w:t>.</w:t>
      </w:r>
    </w:p>
    <w:p>
      <w:pPr>
        <w:pStyle w:val="Heading2"/>
      </w:pPr>
      <w:r>
        <w:t>5.4.3 Búsqueda de vuelos (FR-01, FR-02, NFR-01, NFR-02)</w:t>
      </w:r>
    </w:p>
    <w:p>
      <w:pPr>
        <w:pStyle w:val="ListBullet"/>
      </w:pPr>
      <w:r>
        <w:rPr>
          <w:b/>
        </w:rPr>
        <w:t>Directos (FR-01):</w:t>
      </w:r>
      <w:r>
        <w:t xml:space="preserve"> consulta sobre </w:t>
      </w:r>
      <w:r>
        <w:rPr>
          <w:rFonts w:ascii="Consolas" w:hAnsi="Consolas"/>
          <w:color w:val="C03030"/>
          <w:sz w:val="19"/>
        </w:rPr>
        <w:t>INSTANCIA_VUELO ⨝ VUELO_PROGRAMADO ⨝ RUTA</w:t>
      </w:r>
    </w:p>
    <w:p>
      <w:r>
        <w:t xml:space="preserve">filtrando por origen, destino y </w:t>
      </w:r>
      <w:r>
        <w:rPr>
          <w:rFonts w:ascii="Consolas" w:hAnsi="Consolas"/>
          <w:color w:val="C03030"/>
          <w:sz w:val="19"/>
        </w:rPr>
        <w:t>fecha_salida</w:t>
      </w:r>
      <w:r>
        <w:t xml:space="preserve">, con </w:t>
      </w:r>
      <w:r>
        <w:rPr>
          <w:rFonts w:ascii="Consolas" w:hAnsi="Consolas"/>
          <w:color w:val="C03030"/>
          <w:sz w:val="19"/>
        </w:rPr>
        <w:t>LEFT JOIN</w:t>
      </w:r>
      <w:r>
        <w:t xml:space="preserve"> a</w:t>
      </w:r>
    </w:p>
    <w:p>
      <w:r>
        <w:rPr>
          <w:rFonts w:ascii="Consolas" w:hAnsi="Consolas"/>
          <w:color w:val="C03030"/>
          <w:sz w:val="19"/>
        </w:rPr>
        <w:t>INVENTARIO_ASIENTOS</w:t>
      </w:r>
      <w:r>
        <w:t xml:space="preserve"> para mostrar disponibilidad y a </w:t>
      </w:r>
      <w:r>
        <w:rPr>
          <w:rFonts w:ascii="Consolas" w:hAnsi="Consolas"/>
          <w:color w:val="C03030"/>
          <w:sz w:val="19"/>
        </w:rPr>
        <w:t>TARIFA</w:t>
      </w:r>
      <w:r>
        <w:t xml:space="preserve"> para el precio</w:t>
      </w:r>
    </w:p>
    <w:p>
      <w:r>
        <w:t xml:space="preserve">según </w:t>
      </w:r>
      <w:r>
        <w:rPr>
          <w:rFonts w:ascii="Consolas" w:hAnsi="Consolas"/>
          <w:color w:val="C03030"/>
          <w:sz w:val="19"/>
        </w:rPr>
        <w:t>dias_anticipacion</w:t>
      </w:r>
      <w:r>
        <w:t xml:space="preserve">. La disponibilidad mostrada es </w:t>
      </w:r>
      <w:r>
        <w:rPr>
          <w:b/>
        </w:rPr>
        <w:t>orientativa</w:t>
      </w:r>
      <w:r>
        <w:t xml:space="preserve"> (no se</w:t>
      </w:r>
    </w:p>
    <w:p>
      <w:r>
        <w:t>toma lock en la búsqueda); el lock real ocurre al reservar.</w:t>
      </w:r>
    </w:p>
    <w:p>
      <w:pPr>
        <w:pStyle w:val="ListBullet"/>
      </w:pPr>
      <w:r>
        <w:rPr>
          <w:b/>
        </w:rPr>
        <w:t>Con escalas (FR-02):</w:t>
      </w:r>
      <w:r>
        <w:t xml:space="preserve"> el módulo </w:t>
      </w:r>
      <w:r>
        <w:rPr>
          <w:rFonts w:ascii="Consolas" w:hAnsi="Consolas"/>
          <w:color w:val="C03030"/>
          <w:sz w:val="19"/>
        </w:rPr>
        <w:t>search</w:t>
      </w:r>
      <w:r>
        <w:t xml:space="preserve"> compone hasta </w:t>
      </w:r>
      <w:r>
        <w:rPr>
          <w:b/>
        </w:rPr>
        <w:t>1 conexión</w:t>
      </w:r>
      <w:r>
        <w:t>:</w:t>
      </w:r>
    </w:p>
    <w:p>
      <w:r>
        <w:t>busca tramo A→X y X→B tales que</w:t>
      </w:r>
    </w:p>
    <w:p>
      <w:r>
        <w:rPr>
          <w:rFonts w:ascii="Consolas" w:hAnsi="Consolas"/>
          <w:color w:val="C03030"/>
          <w:sz w:val="19"/>
        </w:rPr>
        <w:t>salida_utc(X→B) − llegada_utc(A→X)</w:t>
      </w:r>
      <w:r>
        <w:t xml:space="preserve"> esté entre un mínimo y un máximo de</w:t>
      </w:r>
    </w:p>
    <w:p>
      <w:r>
        <w:t>conexión configurables. Se limita a 1 escala en el MVP (para una aerolínea</w:t>
      </w:r>
    </w:p>
    <w:p>
      <w:r>
        <w:t>regional cubre la mayoría de itinerarios) y se admite un presupuesto de latencia</w:t>
      </w:r>
    </w:p>
    <w:p>
      <w:r>
        <w:t>~2× el de la búsqueda directa (NFR-02).</w:t>
      </w:r>
    </w:p>
    <w:p>
      <w:pPr>
        <w:pStyle w:val="ListBullet"/>
      </w:pPr>
      <w:r>
        <w:rPr>
          <w:b/>
        </w:rPr>
        <w:t>Índices que lo sostienen</w:t>
      </w:r>
      <w:r>
        <w:t xml:space="preserve"> (definidos en 5.3.5):</w:t>
      </w:r>
    </w:p>
    <w:p>
      <w:r>
        <w:rPr>
          <w:rFonts w:ascii="Consolas" w:hAnsi="Consolas"/>
          <w:color w:val="C03030"/>
          <w:sz w:val="19"/>
        </w:rPr>
        <w:t>INSTANCIA_VUELO(id_vuelo_programado, fecha_salida)</w:t>
      </w:r>
      <w:r>
        <w:t>,</w:t>
      </w:r>
    </w:p>
    <w:p>
      <w:r>
        <w:rPr>
          <w:rFonts w:ascii="Consolas" w:hAnsi="Consolas"/>
          <w:color w:val="C03030"/>
          <w:sz w:val="19"/>
        </w:rPr>
        <w:t>INSTANCIA_VUELO(salida_utc)</w:t>
      </w:r>
      <w:r>
        <w:t xml:space="preserve">, </w:t>
      </w:r>
      <w:r>
        <w:rPr>
          <w:rFonts w:ascii="Consolas" w:hAnsi="Consolas"/>
          <w:color w:val="C03030"/>
          <w:sz w:val="19"/>
        </w:rPr>
        <w:t>VUELO_PROGRAMADO(id_ruta)</w:t>
      </w:r>
      <w:r>
        <w:t>.</w:t>
      </w:r>
    </w:p>
    <w:p>
      <w:pPr>
        <w:pStyle w:val="ListBullet"/>
      </w:pPr>
      <w:r>
        <w:rPr>
          <w:b/>
        </w:rPr>
        <w:t>Evolución (NFR-01/08):</w:t>
      </w:r>
      <w:r>
        <w:t xml:space="preserve"> si la búsqueda se vuelve el cuello de botella, se</w:t>
      </w:r>
    </w:p>
    <w:p>
      <w:r>
        <w:t xml:space="preserve">añade una </w:t>
      </w:r>
      <w:r>
        <w:rPr>
          <w:b/>
        </w:rPr>
        <w:t>réplica de lectura</w:t>
      </w:r>
      <w:r>
        <w:t xml:space="preserve"> de la BD transaccional y </w:t>
      </w:r>
      <w:r>
        <w:rPr>
          <w:rFonts w:ascii="Consolas" w:hAnsi="Consolas"/>
          <w:color w:val="C03030"/>
          <w:sz w:val="19"/>
        </w:rPr>
        <w:t>search</w:t>
      </w:r>
      <w:r>
        <w:t xml:space="preserve"> la consulta a</w:t>
      </w:r>
    </w:p>
    <w:p>
      <w:r>
        <w:t xml:space="preserve">ella, dejando la primaria para las escrituras de </w:t>
      </w:r>
      <w:r>
        <w:rPr>
          <w:rFonts w:ascii="Consolas" w:hAnsi="Consolas"/>
          <w:color w:val="C03030"/>
          <w:sz w:val="19"/>
        </w:rPr>
        <w:t>booking</w:t>
      </w:r>
      <w:r>
        <w:t>.</w:t>
      </w:r>
    </w:p>
    <w:p>
      <w:pPr>
        <w:pStyle w:val="Heading2"/>
      </w:pPr>
      <w:r>
        <w:t>5.4.4 Integración del pago (FR-08, NFR-06)</w:t>
      </w:r>
    </w:p>
    <w:p>
      <w:r>
        <w:rPr>
          <w:b/>
        </w:rPr>
        <w:t>Decisión: pago delegado a una pasarela externa.</w:t>
      </w:r>
      <w:r>
        <w:t xml:space="preserve"> El sistema **no procesa ni</w:t>
      </w:r>
    </w:p>
    <w:p>
      <w:r>
        <w:t xml:space="preserve">almacena** datos de tarjeta (S10, NFR-06); solo guarda en </w:t>
      </w:r>
      <w:r>
        <w:rPr>
          <w:rFonts w:ascii="Consolas" w:hAnsi="Consolas"/>
          <w:color w:val="C03030"/>
          <w:sz w:val="19"/>
        </w:rPr>
        <w:t>PAGO</w:t>
      </w:r>
      <w:r>
        <w:t xml:space="preserve"> el </w:t>
      </w:r>
      <w:r>
        <w:rPr>
          <w:rFonts w:ascii="Consolas" w:hAnsi="Consolas"/>
          <w:color w:val="C03030"/>
          <w:sz w:val="19"/>
        </w:rPr>
        <w:t>proveedor</w:t>
      </w:r>
      <w:r>
        <w:t>,</w:t>
      </w:r>
    </w:p>
    <w:p>
      <w:r>
        <w:t xml:space="preserve">la </w:t>
      </w:r>
      <w:r>
        <w:rPr>
          <w:rFonts w:ascii="Consolas" w:hAnsi="Consolas"/>
          <w:color w:val="C03030"/>
          <w:sz w:val="19"/>
        </w:rPr>
        <w:t>referencia_proveedor</w:t>
      </w:r>
      <w:r>
        <w:t xml:space="preserve"> (token) y el </w:t>
      </w:r>
      <w:r>
        <w:rPr>
          <w:rFonts w:ascii="Consolas" w:hAnsi="Consolas"/>
          <w:color w:val="C03030"/>
          <w:sz w:val="19"/>
        </w:rPr>
        <w:t>estado</w:t>
      </w:r>
      <w:r>
        <w:t>.</w:t>
      </w:r>
    </w:p>
    <w:p>
      <w:r>
        <w:t>Flujo:</w:t>
      </w:r>
    </w:p>
    <w:p>
      <w:pPr>
        <w:pStyle w:val="ListNumber"/>
      </w:pPr>
      <w:r>
        <w:t>El frontend obtiene del proveedor un token de pago (fuera de nuestro backend).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POST /reservations/{code}/pay</w:t>
      </w:r>
      <w:r>
        <w:t xml:space="preserve"> con </w:t>
      </w:r>
      <w:r>
        <w:rPr>
          <w:rFonts w:ascii="Consolas" w:hAnsi="Consolas"/>
          <w:color w:val="C03030"/>
          <w:sz w:val="19"/>
        </w:rPr>
        <w:t>{ token }</w:t>
      </w:r>
      <w:r>
        <w:t xml:space="preserve"> → el backend llama a la API del</w:t>
      </w:r>
    </w:p>
    <w:p>
      <w:r>
        <w:t xml:space="preserve">proveedor para </w:t>
      </w:r>
      <w:r>
        <w:rPr>
          <w:b/>
        </w:rPr>
        <w:t>capturar</w:t>
      </w:r>
      <w:r>
        <w:t xml:space="preserve"> el cobro por </w:t>
      </w:r>
      <w:r>
        <w:rPr>
          <w:rFonts w:ascii="Consolas" w:hAnsi="Consolas"/>
          <w:color w:val="C03030"/>
          <w:sz w:val="19"/>
        </w:rPr>
        <w:t>RESERVA.monto_total</w:t>
      </w:r>
      <w:r>
        <w:t>.</w:t>
      </w:r>
    </w:p>
    <w:p>
      <w:pPr>
        <w:pStyle w:val="ListNumber"/>
      </w:pPr>
      <w:r>
        <w:t xml:space="preserve">Según la respuesta: </w:t>
      </w:r>
      <w:r>
        <w:rPr>
          <w:rFonts w:ascii="Consolas" w:hAnsi="Consolas"/>
          <w:color w:val="C03030"/>
          <w:sz w:val="19"/>
        </w:rPr>
        <w:t>APROBADO</w:t>
      </w:r>
      <w:r>
        <w:t xml:space="preserve"> → transacción de confirmación (5.4.2); </w:t>
      </w:r>
      <w:r>
        <w:rPr>
          <w:rFonts w:ascii="Consolas" w:hAnsi="Consolas"/>
          <w:color w:val="C03030"/>
          <w:sz w:val="19"/>
        </w:rPr>
        <w:t>RECHAZADO</w:t>
      </w:r>
    </w:p>
    <w:p>
      <w:r>
        <w:t xml:space="preserve">→ </w:t>
      </w:r>
      <w:r>
        <w:rPr>
          <w:rFonts w:ascii="Consolas" w:hAnsi="Consolas"/>
          <w:color w:val="C03030"/>
          <w:sz w:val="19"/>
        </w:rPr>
        <w:t>PAGO.estado = RECHAZADO</w:t>
      </w:r>
      <w:r>
        <w:t xml:space="preserve">, la reserva sigue </w:t>
      </w:r>
      <w:r>
        <w:rPr>
          <w:rFonts w:ascii="Consolas" w:hAnsi="Consolas"/>
          <w:color w:val="C03030"/>
          <w:sz w:val="19"/>
        </w:rPr>
        <w:t>RETENIDA</w:t>
      </w:r>
      <w:r>
        <w:t xml:space="preserve"> hasta expirar.</w:t>
      </w:r>
    </w:p>
    <w:p>
      <w:pPr>
        <w:pStyle w:val="ListNumber"/>
      </w:pPr>
      <w:r>
        <w:t xml:space="preserve">Cancelación con reembolso (FR-09): </w:t>
      </w:r>
      <w:r>
        <w:rPr>
          <w:rFonts w:ascii="Consolas" w:hAnsi="Consolas"/>
          <w:color w:val="C03030"/>
          <w:sz w:val="19"/>
        </w:rPr>
        <w:t>payments</w:t>
      </w:r>
      <w:r>
        <w:t xml:space="preserve"> solicita el </w:t>
      </w:r>
      <w:r>
        <w:rPr>
          <w:rFonts w:ascii="Consolas" w:hAnsi="Consolas"/>
          <w:color w:val="C03030"/>
          <w:sz w:val="19"/>
        </w:rPr>
        <w:t>REFUND</w:t>
      </w:r>
      <w:r>
        <w:t xml:space="preserve"> al proveedor</w:t>
      </w:r>
    </w:p>
    <w:p>
      <w:r>
        <w:t xml:space="preserve">y registra </w:t>
      </w:r>
      <w:r>
        <w:rPr>
          <w:rFonts w:ascii="Consolas" w:hAnsi="Consolas"/>
          <w:color w:val="C03030"/>
          <w:sz w:val="19"/>
        </w:rPr>
        <w:t>PAGO.estado = REEMBOLSADO</w:t>
      </w:r>
      <w:r>
        <w:t>.</w:t>
      </w:r>
    </w:p>
    <w:p>
      <w:pPr>
        <w:pStyle w:val="ListBullet"/>
      </w:pPr>
      <w:r>
        <w:rPr>
          <w:b/>
        </w:rPr>
        <w:t>MVP:</w:t>
      </w:r>
      <w:r>
        <w:t xml:space="preserve"> el proveedor es un </w:t>
      </w:r>
      <w:r>
        <w:rPr>
          <w:b/>
        </w:rPr>
        <w:t>stub</w:t>
      </w:r>
      <w:r>
        <w:t xml:space="preserve"> (</w:t>
      </w:r>
      <w:r>
        <w:rPr>
          <w:rFonts w:ascii="Consolas" w:hAnsi="Consolas"/>
          <w:color w:val="C03030"/>
          <w:sz w:val="19"/>
        </w:rPr>
        <w:t>payments/provider_stub.py</w:t>
      </w:r>
      <w:r>
        <w:t>) que simula</w:t>
      </w:r>
    </w:p>
    <w:p>
      <w:r>
        <w:t>aprobado/rechazado de forma determinista para poder probar los flujos y la</w:t>
      </w:r>
    </w:p>
    <w:p>
      <w:r>
        <w:t>concurrencia sin depender de un tercero. El contrato de la interfaz</w:t>
      </w:r>
    </w:p>
    <w:p>
      <w:r>
        <w:t>(</w:t>
      </w:r>
      <w:r>
        <w:rPr>
          <w:rFonts w:ascii="Consolas" w:hAnsi="Consolas"/>
          <w:color w:val="C03030"/>
          <w:sz w:val="19"/>
        </w:rPr>
        <w:t>PaymentProvider</w:t>
      </w:r>
      <w:r>
        <w:t>) es el mismo que usaría una pasarela real → sustituible sin</w:t>
      </w:r>
    </w:p>
    <w:p>
      <w:r>
        <w:t xml:space="preserve">tocar </w:t>
      </w:r>
      <w:r>
        <w:rPr>
          <w:rFonts w:ascii="Consolas" w:hAnsi="Consolas"/>
          <w:color w:val="C03030"/>
          <w:sz w:val="19"/>
        </w:rPr>
        <w:t>booking</w:t>
      </w:r>
      <w:r>
        <w:t>.</w:t>
      </w:r>
    </w:p>
    <w:p>
      <w:pPr>
        <w:pStyle w:val="Heading2"/>
      </w:pPr>
      <w:r>
        <w:t>5.4.5 Exposición a agencias asociadas (FR-11, S3)</w:t>
      </w:r>
    </w:p>
    <w:p>
      <w:r>
        <w:rPr>
          <w:b/>
        </w:rPr>
        <w:t>Decisión (MVP): misma API que el pasajero final</w:t>
      </w:r>
      <w:r>
        <w:t>, diferenciada por el token de</w:t>
      </w:r>
    </w:p>
    <w:p>
      <w:r>
        <w:t>autenticación:</w:t>
      </w:r>
    </w:p>
    <w:p>
      <w:pPr>
        <w:pStyle w:val="ListBullet"/>
      </w:pPr>
      <w:r>
        <w:t xml:space="preserve">Una </w:t>
      </w:r>
      <w:r>
        <w:rPr>
          <w:rFonts w:ascii="Consolas" w:hAnsi="Consolas"/>
          <w:color w:val="C03030"/>
          <w:sz w:val="19"/>
        </w:rPr>
        <w:t>CUENTA_USUARIO</w:t>
      </w:r>
      <w:r>
        <w:t xml:space="preserve"> con </w:t>
      </w:r>
      <w:r>
        <w:rPr>
          <w:rFonts w:ascii="Consolas" w:hAnsi="Consolas"/>
          <w:color w:val="C03030"/>
          <w:sz w:val="19"/>
        </w:rPr>
        <w:t>rol = AGENTE_AGENCIA</w:t>
      </w:r>
      <w:r>
        <w:t xml:space="preserve"> y </w:t>
      </w:r>
      <w:r>
        <w:rPr>
          <w:rFonts w:ascii="Consolas" w:hAnsi="Consolas"/>
          <w:color w:val="C03030"/>
          <w:sz w:val="19"/>
        </w:rPr>
        <w:t>id_agencia</w:t>
      </w:r>
      <w:r>
        <w:t xml:space="preserve"> asociado.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booking</w:t>
      </w:r>
      <w:r>
        <w:t xml:space="preserve"> detecta el rol: marca </w:t>
      </w:r>
      <w:r>
        <w:rPr>
          <w:rFonts w:ascii="Consolas" w:hAnsi="Consolas"/>
          <w:color w:val="C03030"/>
          <w:sz w:val="19"/>
        </w:rPr>
        <w:t>RESERVA.canal = AGENCIA</w:t>
      </w:r>
      <w:r>
        <w:t>, aplica</w:t>
      </w:r>
    </w:p>
    <w:p>
      <w:r>
        <w:rPr>
          <w:rFonts w:ascii="Consolas" w:hAnsi="Consolas"/>
          <w:color w:val="C03030"/>
          <w:sz w:val="19"/>
        </w:rPr>
        <w:t>AGENCIA.tasa_descuento</w:t>
      </w:r>
      <w:r>
        <w:t xml:space="preserve"> al precio y calcula </w:t>
      </w:r>
      <w:r>
        <w:rPr>
          <w:rFonts w:ascii="Consolas" w:hAnsi="Consolas"/>
          <w:color w:val="C03030"/>
          <w:sz w:val="19"/>
        </w:rPr>
        <w:t>RESERVA.monto_comision</w:t>
      </w:r>
      <w:r>
        <w:t xml:space="preserve"> con</w:t>
      </w:r>
    </w:p>
    <w:p>
      <w:r>
        <w:rPr>
          <w:rFonts w:ascii="Consolas" w:hAnsi="Consolas"/>
          <w:color w:val="C03030"/>
          <w:sz w:val="19"/>
        </w:rPr>
        <w:t>AGENCIA.tasa_comision</w:t>
      </w:r>
      <w:r>
        <w:t xml:space="preserve">. La </w:t>
      </w:r>
      <w:r>
        <w:rPr>
          <w:b/>
        </w:rPr>
        <w:t>regla de inventario es idéntica</w:t>
      </w:r>
      <w:r>
        <w:t xml:space="preserve"> (mismo</w:t>
      </w:r>
    </w:p>
    <w:p>
      <w:r>
        <w:rPr>
          <w:rFonts w:ascii="Consolas" w:hAnsi="Consolas"/>
          <w:color w:val="C03030"/>
          <w:sz w:val="19"/>
        </w:rPr>
        <w:t>FOR UPDATE</w:t>
      </w:r>
      <w:r>
        <w:t>, misma validación).</w:t>
      </w:r>
    </w:p>
    <w:p>
      <w:pPr>
        <w:pStyle w:val="ListBullet"/>
      </w:pPr>
      <w:r>
        <w:rPr>
          <w:b/>
        </w:rPr>
        <w:t>API B2B separada:</w:t>
      </w:r>
      <w:r>
        <w:t xml:space="preserve"> se </w:t>
      </w:r>
      <w:r>
        <w:rPr>
          <w:b/>
        </w:rPr>
        <w:t>diseña</w:t>
      </w:r>
      <w:r>
        <w:t xml:space="preserve"> (endpoints de tarifa negociada, facturación</w:t>
      </w:r>
    </w:p>
    <w:p>
      <w:r>
        <w:t xml:space="preserve">consolidada, límites por agencia) pero </w:t>
      </w:r>
      <w:r>
        <w:rPr>
          <w:b/>
        </w:rPr>
        <w:t>no se implementa</w:t>
      </w:r>
      <w:r>
        <w:t xml:space="preserve"> en el MVP. Se expone</w:t>
      </w:r>
    </w:p>
    <w:p>
      <w:r>
        <w:t>como router aparte (</w:t>
      </w:r>
      <w:r>
        <w:rPr>
          <w:rFonts w:ascii="Consolas" w:hAnsi="Consolas"/>
          <w:color w:val="C03030"/>
          <w:sz w:val="19"/>
        </w:rPr>
        <w:t>/b2b/...</w:t>
      </w:r>
      <w:r>
        <w:t>) el día que exista, reutilizando el mismo módulo</w:t>
      </w:r>
    </w:p>
    <w:p>
      <w:r>
        <w:rPr>
          <w:rFonts w:ascii="Consolas" w:hAnsi="Consolas"/>
          <w:color w:val="C03030"/>
          <w:sz w:val="19"/>
        </w:rPr>
        <w:t>booking</w:t>
      </w:r>
      <w:r>
        <w:t>.</w:t>
      </w:r>
    </w:p>
    <w:p>
      <w:pPr>
        <w:pStyle w:val="Heading2"/>
      </w:pPr>
      <w:r>
        <w:t>5.4.6 Relación con el pipeline de Big Data del curso (5.7)</w:t>
      </w:r>
    </w:p>
    <w:p>
      <w:r>
        <w:t xml:space="preserve">La arquitectura transaccional </w:t>
      </w:r>
      <w:r>
        <w:rPr>
          <w:b/>
        </w:rPr>
        <w:t>no ejecuta análisis</w:t>
      </w:r>
      <w:r>
        <w:t>. La relación con el pipeline</w:t>
      </w:r>
    </w:p>
    <w:p>
      <w:r>
        <w:t xml:space="preserve">es de </w:t>
      </w:r>
      <w:r>
        <w:rPr>
          <w:b/>
        </w:rPr>
        <w:t>origen de datos</w:t>
      </w:r>
      <w:r>
        <w:t>: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 xml:space="preserve">  [ OLTP PostgreSQL ]  --(vistas de extraccion)--&gt;  [ AWS Glue Job / ETL ]  --&gt;  [ OLAP PostgreSQL (estrella) ]</w:t>
        <w:br/>
        <w:t xml:space="preserve">        (este doc)                                        (doc 5.7)                    (doc 5.7)</w:t>
        <w:br/>
        <w:t xml:space="preserve">                                                              |</w:t>
        <w:br/>
        <w:t xml:space="preserve">                                              ambos registrados en  [ AWS Glue Data Catalog ]</w:t>
      </w:r>
    </w:p>
    <w:p>
      <w:pPr>
        <w:pStyle w:val="ListBullet"/>
      </w:pPr>
      <w:r>
        <w:t xml:space="preserve">El backend expone, además, endpoints de solo lectura para los </w:t>
      </w:r>
      <w:r>
        <w:rPr>
          <w:b/>
        </w:rPr>
        <w:t>reportes</w:t>
      </w:r>
    </w:p>
    <w:p>
      <w:r>
        <w:t xml:space="preserve">(FR-18) que consultan la </w:t>
      </w:r>
      <w:r>
        <w:rPr>
          <w:b/>
        </w:rPr>
        <w:t>BD analítica</w:t>
      </w:r>
      <w:r>
        <w:t>, no la transaccional → el análisis no</w:t>
      </w:r>
    </w:p>
    <w:p>
      <w:r>
        <w:t>compite por los locks del OLTP (NFR-08).</w:t>
      </w:r>
    </w:p>
    <w:p>
      <w:pPr>
        <w:pStyle w:val="ListBullet"/>
      </w:pPr>
      <w:r>
        <w:t xml:space="preserve">El OLTP en 3FN (decisión de 5.3) es una </w:t>
      </w:r>
      <w:r>
        <w:rPr>
          <w:b/>
        </w:rPr>
        <w:t>buena fuente</w:t>
      </w:r>
      <w:r>
        <w:t xml:space="preserve"> para el ETL: los datos</w:t>
      </w:r>
    </w:p>
    <w:p>
      <w:r>
        <w:t>están normalizados y sin duplicación; el ETL los transforma al esquema estrella.</w:t>
      </w:r>
    </w:p>
    <w:p>
      <w:pPr>
        <w:pStyle w:val="Heading2"/>
      </w:pPr>
      <w:r>
        <w:t>5.4.7 Componentes de infraestructura (resumen; detalle y costos en 5.7)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Learner Lab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API FastAPI</w:t>
            </w:r>
          </w:p>
        </w:tc>
        <w:tc>
          <w:tcPr>
            <w:tcW w:type="dxa" w:w="2160"/>
          </w:tcPr>
          <w:p>
            <w:r/>
            <w:r>
              <w:t>Monolito modular</w:t>
            </w:r>
          </w:p>
        </w:tc>
        <w:tc>
          <w:tcPr>
            <w:tcW w:type="dxa" w:w="2160"/>
          </w:tcPr>
          <w:p>
            <w:r/>
            <w:r>
              <w:t>Todos los FR</w:t>
            </w:r>
          </w:p>
        </w:tc>
        <w:tc>
          <w:tcPr>
            <w:tcW w:type="dxa" w:w="2160"/>
          </w:tcPr>
          <w:p>
            <w:r/>
            <w:r>
              <w:t xml:space="preserve">EC2 </w:t>
            </w:r>
            <w:r>
              <w:rPr>
                <w:rFonts w:ascii="Consolas" w:hAnsi="Consolas"/>
                <w:color w:val="C03030"/>
                <w:sz w:val="19"/>
              </w:rPr>
              <w:t>t3.micro</w:t>
            </w:r>
            <w:r>
              <w:t xml:space="preserve"> (o local contra RDS para la demo)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(OLTP)</w:t>
            </w:r>
          </w:p>
        </w:tc>
        <w:tc>
          <w:tcPr>
            <w:tcW w:type="dxa" w:w="2160"/>
          </w:tcPr>
          <w:p>
            <w:r/>
            <w:r>
              <w:t>BD transaccional, modelo 5.3</w:t>
            </w:r>
          </w:p>
        </w:tc>
        <w:tc>
          <w:tcPr>
            <w:tcW w:type="dxa" w:w="2160"/>
          </w:tcPr>
          <w:p>
            <w:r/>
            <w:r>
              <w:t>NFR-03, NFR-04, NFR-07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StorageEncrypted=true</w:t>
            </w:r>
            <w:r>
              <w:t>, single-AZ (trade-off NFR-05 documentado)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(OLAP)</w:t>
            </w:r>
          </w:p>
        </w:tc>
        <w:tc>
          <w:tcPr>
            <w:tcW w:type="dxa" w:w="2160"/>
          </w:tcPr>
          <w:p>
            <w:r/>
            <w:r>
              <w:t>BD analítica estrella</w:t>
            </w:r>
          </w:p>
        </w:tc>
        <w:tc>
          <w:tcPr>
            <w:tcW w:type="dxa" w:w="2160"/>
          </w:tcPr>
          <w:p>
            <w:r/>
            <w:r>
              <w:t>FR-18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AWS Glue Job</w:t>
            </w:r>
          </w:p>
        </w:tc>
        <w:tc>
          <w:tcPr>
            <w:tcW w:type="dxa" w:w="2160"/>
          </w:tcPr>
          <w:p>
            <w:r/>
            <w:r>
              <w:t>ETL OLTP → OLAP</w:t>
            </w:r>
          </w:p>
        </w:tc>
        <w:tc>
          <w:tcPr>
            <w:tcW w:type="dxa" w:w="2160"/>
          </w:tcPr>
          <w:p>
            <w:r/>
            <w:r>
              <w:t>FR-18, 5.7</w:t>
            </w:r>
          </w:p>
        </w:tc>
        <w:tc>
          <w:tcPr>
            <w:tcW w:type="dxa" w:w="2160"/>
          </w:tcPr>
          <w:p>
            <w:r/>
            <w:r>
              <w:t>on-demand / programado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AWS Glue Data Catalog + crawlers</w:t>
            </w:r>
          </w:p>
        </w:tc>
        <w:tc>
          <w:tcPr>
            <w:tcW w:type="dxa" w:w="2160"/>
          </w:tcPr>
          <w:p>
            <w:r/>
            <w:r>
              <w:t>Metadatos de ambas BD</w:t>
            </w:r>
          </w:p>
        </w:tc>
        <w:tc>
          <w:tcPr>
            <w:tcW w:type="dxa" w:w="2160"/>
          </w:tcPr>
          <w:p>
            <w:r/>
            <w:r>
              <w:t>5.7 (requisito explícito)</w:t>
            </w:r>
          </w:p>
        </w:tc>
        <w:tc>
          <w:tcPr>
            <w:tcW w:type="dxa" w:w="2160"/>
          </w:tcPr>
          <w:p>
            <w:r/>
            <w:r>
              <w:t>crawlers JDBC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`LabRole` / perfil de instancia</w:t>
            </w:r>
          </w:p>
        </w:tc>
        <w:tc>
          <w:tcPr>
            <w:tcW w:type="dxa" w:w="2160"/>
          </w:tcPr>
          <w:p>
            <w:r/>
            <w:r>
              <w:t>Permisos</w:t>
            </w:r>
          </w:p>
        </w:tc>
        <w:tc>
          <w:tcPr>
            <w:tcW w:type="dxa" w:w="2160"/>
          </w:tcPr>
          <w:p>
            <w:r/>
            <w:r>
              <w:t>NFR-07 (sin llaves largas)</w:t>
            </w:r>
          </w:p>
        </w:tc>
        <w:tc>
          <w:tcPr>
            <w:tcW w:type="dxa" w:w="2160"/>
          </w:tcPr>
          <w:p>
            <w:r/>
            <w:r>
              <w:t>rol preexistente del Learner Lab</w:t>
            </w:r>
          </w:p>
        </w:tc>
      </w:tr>
    </w:tbl>
    <w:p/>
    <w:p>
      <w:pPr>
        <w:pStyle w:val="Heading2"/>
      </w:pPr>
      <w:r>
        <w:t>5.4.8 Ajustes durante la implementación</w:t>
      </w:r>
    </w:p>
    <w:p>
      <w:pPr>
        <w:ind w:left="360"/>
      </w:pPr>
      <w:r>
        <w:rPr>
          <w:i/>
          <w:color w:val="555555"/>
        </w:rPr>
        <w:t>Se completará en la Fase 4. Toda diferencia entre este diseño y el código de 5.6</w:t>
      </w:r>
    </w:p>
    <w:p>
      <w:pPr>
        <w:ind w:left="360"/>
      </w:pPr>
      <w:r>
        <w:rPr>
          <w:i/>
          <w:color w:val="555555"/>
        </w:rPr>
        <w:t>se registra aquí con su justificación (lo exige la sección 5.6 del enunciado).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