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5.7 Implementación AWS — ETL, Glue Data Catalog y costos</w:t>
      </w:r>
    </w:p>
    <w:p>
      <w:pPr>
        <w:ind w:left="360"/>
      </w:pPr>
      <w:r>
        <w:rPr>
          <w:i/>
          <w:color w:val="555555"/>
        </w:rPr>
        <w:t xml:space="preserve">Código: </w:t>
      </w:r>
      <w:r>
        <w:rPr>
          <w:rFonts w:ascii="Consolas" w:hAnsi="Consolas"/>
          <w:i/>
          <w:color w:val="555555"/>
          <w:sz w:val="19"/>
        </w:rPr>
        <w:t>analytics/schema_olap.sql</w:t>
      </w:r>
      <w:r>
        <w:rPr>
          <w:i/>
          <w:color w:val="555555"/>
        </w:rPr>
        <w:t xml:space="preserve">, </w:t>
      </w:r>
      <w:r>
        <w:rPr>
          <w:rFonts w:ascii="Consolas" w:hAnsi="Consolas"/>
          <w:i/>
          <w:color w:val="555555"/>
          <w:sz w:val="19"/>
        </w:rPr>
        <w:t>etl/etl.py</w:t>
      </w:r>
      <w:r>
        <w:rPr>
          <w:i/>
          <w:color w:val="555555"/>
        </w:rPr>
        <w:t xml:space="preserve">, infraestructura en </w:t>
      </w:r>
      <w:r>
        <w:rPr>
          <w:rFonts w:ascii="Consolas" w:hAnsi="Consolas"/>
          <w:i/>
          <w:color w:val="555555"/>
          <w:sz w:val="19"/>
        </w:rPr>
        <w:t>infra/cdk/</w:t>
      </w:r>
    </w:p>
    <w:p>
      <w:pPr>
        <w:ind w:left="360"/>
      </w:pPr>
      <w:r>
        <w:rPr>
          <w:i/>
          <w:color w:val="555555"/>
        </w:rPr>
        <w:t xml:space="preserve">Diagrama de arquitectura AWS: </w:t>
      </w:r>
      <w:r>
        <w:rPr>
          <w:rFonts w:ascii="Consolas" w:hAnsi="Consolas"/>
          <w:i/>
          <w:color w:val="555555"/>
          <w:sz w:val="19"/>
        </w:rPr>
        <w:t>diagrams/07-arquitectura-aws.drawio</w:t>
      </w:r>
    </w:p>
    <w:p>
      <w:pPr>
        <w:ind w:left="360"/>
      </w:pPr>
      <w:r>
        <w:rPr>
          <w:i/>
          <w:color w:val="555555"/>
        </w:rPr>
        <w:t>Referencias: FR/NFR en 01/02, modelo OLTP en 03, backend en 04.</w:t>
      </w:r>
    </w:p>
    <w:p>
      <w:pPr>
        <w:pStyle w:val="Heading2"/>
      </w:pPr>
      <w:r>
        <w:t>5.7.1 Qué se implementó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Requisito del enunciado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Implementación</w:t>
            </w:r>
          </w:p>
        </w:tc>
      </w:tr>
      <w:tr>
        <w:tc>
          <w:tcPr>
            <w:tcW w:type="dxa" w:w="4320"/>
          </w:tcPr>
          <w:p>
            <w:r/>
            <w:r>
              <w:t>BD transaccional con el modelo de 5.3</w:t>
            </w:r>
          </w:p>
        </w:tc>
        <w:tc>
          <w:tcPr>
            <w:tcW w:type="dxa" w:w="4320"/>
          </w:tcPr>
          <w:p>
            <w:r/>
            <w:r>
              <w:t xml:space="preserve">RDS PostgreSQL </w:t>
            </w:r>
            <w:r>
              <w:rPr>
                <w:rFonts w:ascii="Consolas" w:hAnsi="Consolas"/>
                <w:color w:val="C03030"/>
                <w:sz w:val="19"/>
              </w:rPr>
              <w:t>aerolinea-oltp</w:t>
            </w:r>
            <w:r>
              <w:t xml:space="preserve"> (esquema de la migración </w:t>
            </w:r>
            <w:r>
              <w:rPr>
                <w:rFonts w:ascii="Consolas" w:hAnsi="Consolas"/>
                <w:color w:val="C03030"/>
                <w:sz w:val="19"/>
              </w:rPr>
              <w:t>0001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2ª BD PostgreSQL analítica (OLAP) que recibe copia de ≥1 tabla/vista vía ETL</w:t>
            </w:r>
          </w:p>
        </w:tc>
        <w:tc>
          <w:tcPr>
            <w:tcW w:type="dxa" w:w="4320"/>
          </w:tcPr>
          <w:p>
            <w:r/>
            <w:r>
              <w:t xml:space="preserve">RDS PostgreSQL </w:t>
            </w:r>
            <w:r>
              <w:rPr>
                <w:rFonts w:ascii="Consolas" w:hAnsi="Consolas"/>
                <w:color w:val="C03030"/>
                <w:sz w:val="19"/>
              </w:rPr>
              <w:t>aerolinea-olap</w:t>
            </w:r>
            <w:r>
              <w:t xml:space="preserve">, esquema </w:t>
            </w:r>
            <w:r>
              <w:rPr>
                <w:b/>
              </w:rPr>
              <w:t>estrella</w:t>
            </w:r>
            <w:r>
              <w:t xml:space="preserve"> (</w:t>
            </w:r>
            <w:r>
              <w:rPr>
                <w:rFonts w:ascii="Consolas" w:hAnsi="Consolas"/>
                <w:color w:val="C03030"/>
                <w:sz w:val="19"/>
              </w:rPr>
              <w:t>schema_olap.sql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Proceso ETL entre ambas</w:t>
            </w:r>
          </w:p>
        </w:tc>
        <w:tc>
          <w:tcPr>
            <w:tcW w:type="dxa" w:w="4320"/>
          </w:tcPr>
          <w:p>
            <w:r/>
            <w:r>
              <w:t xml:space="preserve">Script Python </w:t>
            </w:r>
            <w:r>
              <w:rPr>
                <w:rFonts w:ascii="Consolas" w:hAnsi="Consolas"/>
                <w:color w:val="C03030"/>
                <w:sz w:val="19"/>
              </w:rPr>
              <w:t>etl/etl.py</w:t>
            </w:r>
            <w:r>
              <w:t xml:space="preserve"> — </w:t>
            </w:r>
            <w:r>
              <w:rPr>
                <w:rFonts w:ascii="Consolas" w:hAnsi="Consolas"/>
                <w:color w:val="C03030"/>
                <w:sz w:val="19"/>
              </w:rPr>
              <w:t>EXTRACT</w:t>
            </w:r>
            <w:r>
              <w:t xml:space="preserve"> (1 consulta que une el OLTP a nivel de segmento) → </w:t>
            </w:r>
            <w:r>
              <w:rPr>
                <w:rFonts w:ascii="Consolas" w:hAnsi="Consolas"/>
                <w:color w:val="C03030"/>
                <w:sz w:val="19"/>
              </w:rPr>
              <w:t>TRANSFORM</w:t>
            </w:r>
            <w:r>
              <w:t xml:space="preserve"> (desnormaliza + deriva columnas) → </w:t>
            </w:r>
            <w:r>
              <w:rPr>
                <w:rFonts w:ascii="Consolas" w:hAnsi="Consolas"/>
                <w:color w:val="C03030"/>
                <w:sz w:val="19"/>
              </w:rPr>
              <w:t>LOAD</w:t>
            </w:r>
            <w:r>
              <w:t xml:space="preserve"> (upsert idempotente)</w:t>
            </w:r>
          </w:p>
        </w:tc>
      </w:tr>
      <w:tr>
        <w:tc>
          <w:tcPr>
            <w:tcW w:type="dxa" w:w="4320"/>
          </w:tcPr>
          <w:p>
            <w:r/>
            <w:r>
              <w:t>Ambas BD registradas en AWS Glue Data Catalog</w:t>
            </w:r>
          </w:p>
        </w:tc>
        <w:tc>
          <w:tcPr>
            <w:tcW w:type="dxa" w:w="4320"/>
          </w:tcPr>
          <w:p>
            <w:r/>
            <w:r>
              <w:t>El stack CDK (</w:t>
            </w:r>
            <w:r>
              <w:rPr>
                <w:rFonts w:ascii="Consolas" w:hAnsi="Consolas"/>
                <w:color w:val="C03030"/>
                <w:sz w:val="19"/>
              </w:rPr>
              <w:t>infra/cdk/lib/aerolinea-stack.ts</w:t>
            </w:r>
            <w:r>
              <w:t xml:space="preserve">) crea 1 database </w:t>
            </w:r>
            <w:r>
              <w:rPr>
                <w:rFonts w:ascii="Consolas" w:hAnsi="Consolas"/>
                <w:color w:val="C03030"/>
                <w:sz w:val="19"/>
              </w:rPr>
              <w:t>aerolinea_catalog</w:t>
            </w:r>
            <w:r>
              <w:t xml:space="preserve">, 2 conexiones JDBC y 2 crawlers (prefijos </w:t>
            </w:r>
            <w:r>
              <w:rPr>
                <w:rFonts w:ascii="Consolas" w:hAnsi="Consolas"/>
                <w:color w:val="C03030"/>
                <w:sz w:val="19"/>
              </w:rPr>
              <w:t>oltp_</w:t>
            </w:r>
            <w:r>
              <w:t xml:space="preserve"> / </w:t>
            </w:r>
            <w:r>
              <w:rPr>
                <w:rFonts w:ascii="Consolas" w:hAnsi="Consolas"/>
                <w:color w:val="C03030"/>
                <w:sz w:val="19"/>
              </w:rPr>
              <w:t>olap_</w:t>
            </w:r>
            <w:r>
              <w:t>)</w:t>
            </w:r>
          </w:p>
        </w:tc>
      </w:tr>
    </w:tbl>
    <w:p/>
    <w:p>
      <w:r>
        <w:rPr>
          <w:b/>
        </w:rPr>
        <w:t>Evidencia local</w:t>
      </w:r>
      <w:r>
        <w:t xml:space="preserve"> (mismo código, PostgreSQL local): el ETL cargó 14 segmentos de</w:t>
      </w:r>
    </w:p>
    <w:p>
      <w:r>
        <w:t>reserva y las 3 vistas de negocio responden — ver</w:t>
      </w:r>
    </w:p>
    <w:p>
      <w:r>
        <w:rPr>
          <w:rFonts w:ascii="Consolas" w:hAnsi="Consolas"/>
          <w:color w:val="C03030"/>
          <w:sz w:val="19"/>
        </w:rPr>
        <w:t>docs/evidencia/etl-vistas-negocio.txt</w:t>
      </w:r>
      <w:r>
        <w:t>.</w:t>
      </w:r>
    </w:p>
    <w:p>
      <w:pPr>
        <w:pStyle w:val="Heading2"/>
      </w:pPr>
      <w:r>
        <w:t>5.7.2 ¿Qué se copia al OLAP y cómo?</w:t>
      </w:r>
    </w:p>
    <w:p>
      <w:r>
        <w:rPr>
          <w:b/>
        </w:rPr>
        <w:t>Qué:</w:t>
      </w:r>
      <w:r>
        <w:t xml:space="preserve"> las </w:t>
      </w:r>
      <w:r>
        <w:rPr>
          <w:b/>
        </w:rPr>
        <w:t>reservas a nivel de segmento</w:t>
      </w:r>
      <w:r>
        <w:t xml:space="preserve"> (</w:t>
      </w:r>
      <w:r>
        <w:rPr>
          <w:rFonts w:ascii="Consolas" w:hAnsi="Consolas"/>
          <w:color w:val="C03030"/>
          <w:sz w:val="19"/>
        </w:rPr>
        <w:t>fact_reserva_segmento</w:t>
      </w:r>
      <w:r>
        <w:t>, grano = un</w:t>
      </w:r>
    </w:p>
    <w:p>
      <w:r>
        <w:t xml:space="preserve">tramo de una reserva) más sus dimensiones </w:t>
      </w:r>
      <w:r>
        <w:rPr>
          <w:rFonts w:ascii="Consolas" w:hAnsi="Consolas"/>
          <w:color w:val="C03030"/>
          <w:sz w:val="19"/>
        </w:rPr>
        <w:t>dim_ruta</w:t>
      </w:r>
      <w:r>
        <w:t xml:space="preserve">, </w:t>
      </w:r>
      <w:r>
        <w:rPr>
          <w:rFonts w:ascii="Consolas" w:hAnsi="Consolas"/>
          <w:color w:val="C03030"/>
          <w:sz w:val="19"/>
        </w:rPr>
        <w:t>dim_vuelo</w:t>
      </w:r>
      <w:r>
        <w:t xml:space="preserve">, </w:t>
      </w:r>
      <w:r>
        <w:rPr>
          <w:rFonts w:ascii="Consolas" w:hAnsi="Consolas"/>
          <w:color w:val="C03030"/>
          <w:sz w:val="19"/>
        </w:rPr>
        <w:t>dim_tarifa</w:t>
      </w:r>
      <w:r>
        <w:t>,</w:t>
      </w:r>
    </w:p>
    <w:p>
      <w:r>
        <w:rPr>
          <w:rFonts w:ascii="Consolas" w:hAnsi="Consolas"/>
          <w:color w:val="C03030"/>
          <w:sz w:val="19"/>
        </w:rPr>
        <w:t>dim_tiempo</w:t>
      </w:r>
      <w:r>
        <w:t xml:space="preserve">, </w:t>
      </w:r>
      <w:r>
        <w:rPr>
          <w:rFonts w:ascii="Consolas" w:hAnsi="Consolas"/>
          <w:color w:val="C03030"/>
          <w:sz w:val="19"/>
        </w:rPr>
        <w:t>dim_canal</w:t>
      </w:r>
      <w:r>
        <w:t>.</w:t>
      </w:r>
    </w:p>
    <w:p>
      <w:r>
        <w:rPr>
          <w:b/>
        </w:rPr>
        <w:t>No se copia tal cual — se transforma:</w:t>
      </w:r>
    </w:p>
    <w:p>
      <w:pPr>
        <w:pStyle w:val="ListBullet"/>
      </w:pPr>
      <w:r>
        <w:rPr>
          <w:b/>
        </w:rPr>
        <w:t>Desnormalización:</w:t>
      </w:r>
      <w:r>
        <w:t xml:space="preserve"> el hecho ya trae </w:t>
      </w:r>
      <w:r>
        <w:rPr>
          <w:rFonts w:ascii="Consolas" w:hAnsi="Consolas"/>
          <w:color w:val="C03030"/>
          <w:sz w:val="19"/>
        </w:rPr>
        <w:t>id_ruta</w:t>
      </w:r>
      <w:r>
        <w:t xml:space="preserve">, </w:t>
      </w:r>
      <w:r>
        <w:rPr>
          <w:rFonts w:ascii="Consolas" w:hAnsi="Consolas"/>
          <w:color w:val="C03030"/>
          <w:sz w:val="19"/>
        </w:rPr>
        <w:t>id_tarifa</w:t>
      </w:r>
      <w:r>
        <w:t xml:space="preserve">, </w:t>
      </w:r>
      <w:r>
        <w:rPr>
          <w:rFonts w:ascii="Consolas" w:hAnsi="Consolas"/>
          <w:color w:val="C03030"/>
          <w:sz w:val="19"/>
        </w:rPr>
        <w:t>id_canal</w:t>
      </w:r>
      <w:r>
        <w:t>, etc.;</w:t>
      </w:r>
    </w:p>
    <w:p>
      <w:r>
        <w:t>una consulta analítica no necesita recorrer 8 tablas como en el OLTP.</w:t>
      </w:r>
    </w:p>
    <w:p>
      <w:pPr>
        <w:pStyle w:val="ListBullet"/>
      </w:pPr>
      <w:r>
        <w:rPr>
          <w:b/>
        </w:rPr>
        <w:t>Columnas derivadas:</w:t>
      </w:r>
      <w:r>
        <w:t xml:space="preserve"> </w:t>
      </w:r>
      <w:r>
        <w:rPr>
          <w:rFonts w:ascii="Consolas" w:hAnsi="Consolas"/>
          <w:color w:val="C03030"/>
          <w:sz w:val="19"/>
        </w:rPr>
        <w:t>par_ruta</w:t>
      </w:r>
      <w:r>
        <w:t xml:space="preserve"> (</w:t>
      </w:r>
      <w:r>
        <w:rPr>
          <w:rFonts w:ascii="Consolas" w:hAnsi="Consolas"/>
          <w:color w:val="C03030"/>
          <w:sz w:val="19"/>
        </w:rPr>
        <w:t>BOG-MDE</w:t>
      </w:r>
      <w:r>
        <w:t xml:space="preserve">), </w:t>
      </w:r>
      <w:r>
        <w:rPr>
          <w:rFonts w:ascii="Consolas" w:hAnsi="Consolas"/>
          <w:color w:val="C03030"/>
          <w:sz w:val="19"/>
        </w:rPr>
        <w:t>ventana_compra</w:t>
      </w:r>
    </w:p>
    <w:p>
      <w:r>
        <w:t>(</w:t>
      </w:r>
      <w:r>
        <w:rPr>
          <w:rFonts w:ascii="Consolas" w:hAnsi="Consolas"/>
          <w:color w:val="C03030"/>
          <w:sz w:val="19"/>
        </w:rPr>
        <w:t>anticipada</w:t>
      </w:r>
      <w:r>
        <w:t>/</w:t>
      </w:r>
      <w:r>
        <w:rPr>
          <w:rFonts w:ascii="Consolas" w:hAnsi="Consolas"/>
          <w:color w:val="C03030"/>
          <w:sz w:val="19"/>
        </w:rPr>
        <w:t>última hora</w:t>
      </w:r>
      <w:r>
        <w:t xml:space="preserve"> según </w:t>
      </w:r>
      <w:r>
        <w:rPr>
          <w:rFonts w:ascii="Consolas" w:hAnsi="Consolas"/>
          <w:color w:val="C03030"/>
          <w:sz w:val="19"/>
        </w:rPr>
        <w:t>dias_anticipacion_min</w:t>
      </w:r>
      <w:r>
        <w:t xml:space="preserve">), </w:t>
      </w:r>
      <w:r>
        <w:rPr>
          <w:rFonts w:ascii="Consolas" w:hAnsi="Consolas"/>
          <w:color w:val="C03030"/>
          <w:sz w:val="19"/>
        </w:rPr>
        <w:t>temporada</w:t>
      </w:r>
    </w:p>
    <w:p>
      <w:r>
        <w:t>(</w:t>
      </w:r>
      <w:r>
        <w:rPr>
          <w:rFonts w:ascii="Consolas" w:hAnsi="Consolas"/>
          <w:color w:val="C03030"/>
          <w:sz w:val="19"/>
        </w:rPr>
        <w:t>ALTA</w:t>
      </w:r>
      <w:r>
        <w:t>/</w:t>
      </w:r>
      <w:r>
        <w:rPr>
          <w:rFonts w:ascii="Consolas" w:hAnsi="Consolas"/>
          <w:color w:val="C03030"/>
          <w:sz w:val="19"/>
        </w:rPr>
        <w:t>BAJA</w:t>
      </w:r>
      <w:r>
        <w:t xml:space="preserve"> según el mes), banderas </w:t>
      </w:r>
      <w:r>
        <w:rPr>
          <w:rFonts w:ascii="Consolas" w:hAnsi="Consolas"/>
          <w:color w:val="C03030"/>
          <w:sz w:val="19"/>
        </w:rPr>
        <w:t>es_confirmada</w:t>
      </w:r>
      <w:r>
        <w:t>/</w:t>
      </w:r>
      <w:r>
        <w:rPr>
          <w:rFonts w:ascii="Consolas" w:hAnsi="Consolas"/>
          <w:color w:val="C03030"/>
          <w:sz w:val="19"/>
        </w:rPr>
        <w:t>es_cancelada</w:t>
      </w:r>
      <w:r>
        <w:t>/</w:t>
      </w:r>
      <w:r>
        <w:rPr>
          <w:rFonts w:ascii="Consolas" w:hAnsi="Consolas"/>
          <w:color w:val="C03030"/>
          <w:sz w:val="19"/>
        </w:rPr>
        <w:t>es_expirada</w:t>
      </w:r>
      <w:r>
        <w:t>.</w:t>
      </w:r>
    </w:p>
    <w:p>
      <w:pPr>
        <w:pStyle w:val="ListBullet"/>
      </w:pPr>
      <w:r>
        <w:rPr>
          <w:b/>
        </w:rPr>
        <w:t>Comisión prorrateada:</w:t>
      </w:r>
      <w:r>
        <w:t xml:space="preserve"> </w:t>
      </w:r>
      <w:r>
        <w:rPr>
          <w:rFonts w:ascii="Consolas" w:hAnsi="Consolas"/>
          <w:color w:val="C03030"/>
          <w:sz w:val="19"/>
        </w:rPr>
        <w:t>reserva.monto_comision</w:t>
      </w:r>
      <w:r>
        <w:t xml:space="preserve"> (total) se reparte por</w:t>
      </w:r>
    </w:p>
    <w:p>
      <w:r>
        <w:t xml:space="preserve">segmento según su peso en el </w:t>
      </w:r>
      <w:r>
        <w:rPr>
          <w:rFonts w:ascii="Consolas" w:hAnsi="Consolas"/>
          <w:color w:val="C03030"/>
          <w:sz w:val="19"/>
        </w:rPr>
        <w:t>monto_total</w:t>
      </w:r>
      <w:r>
        <w:t>.</w:t>
      </w:r>
    </w:p>
    <w:p>
      <w:pPr>
        <w:pStyle w:val="ListBullet"/>
      </w:pPr>
      <w:r>
        <w:rPr>
          <w:b/>
        </w:rPr>
        <w:t>`dim_tiempo`</w:t>
      </w:r>
      <w:r>
        <w:t xml:space="preserve"> se genera en el ETL (no existe en el OLTP): un registro por</w:t>
      </w:r>
    </w:p>
    <w:p>
      <w:r>
        <w:t>fecha con año/mes/día de semana/temporada.</w:t>
      </w:r>
    </w:p>
    <w:p>
      <w:r>
        <w:rPr>
          <w:b/>
        </w:rPr>
        <w:t>Por qué el esquema OLAP ≠ OLTP</w:t>
      </w:r>
      <w:r>
        <w:t xml:space="preserve"> (relación con la normalización de 5.3): el OLTP</w:t>
      </w:r>
    </w:p>
    <w:p>
      <w:r>
        <w:t xml:space="preserve">está en </w:t>
      </w:r>
      <w:r>
        <w:rPr>
          <w:b/>
        </w:rPr>
        <w:t>3FN</w:t>
      </w:r>
      <w:r>
        <w:t xml:space="preserve"> porque su prioridad es la </w:t>
      </w:r>
      <w:r>
        <w:rPr>
          <w:b/>
        </w:rPr>
        <w:t>integridad en escritura</w:t>
      </w:r>
      <w:r>
        <w:t xml:space="preserve"> (evitar</w:t>
      </w:r>
    </w:p>
    <w:p>
      <w:r>
        <w:t xml:space="preserve">anomalías, </w:t>
      </w:r>
      <w:r>
        <w:rPr>
          <w:rFonts w:ascii="Consolas" w:hAnsi="Consolas"/>
          <w:color w:val="C03030"/>
          <w:sz w:val="19"/>
        </w:rPr>
        <w:t>SELECT ... FOR UPDATE</w:t>
      </w:r>
      <w:r>
        <w:t xml:space="preserve"> sobre filas pequeñas — NFR-03/04). El OLAP tiene</w:t>
      </w:r>
    </w:p>
    <w:p>
      <w:r>
        <w:t xml:space="preserve">la prioridad opuesta: </w:t>
      </w:r>
      <w:r>
        <w:rPr>
          <w:b/>
        </w:rPr>
        <w:t>lecturas analíticas rápidas</w:t>
      </w:r>
      <w:r>
        <w:t xml:space="preserve"> con pocos joins → esquema</w:t>
      </w:r>
    </w:p>
    <w:p>
      <w:r>
        <w:t>estrella desnormalizado. Son dos modelos para dos cargas de trabajo distintas; por</w:t>
      </w:r>
    </w:p>
    <w:p>
      <w:r>
        <w:t xml:space="preserve">eso también viven en </w:t>
      </w:r>
      <w:r>
        <w:rPr>
          <w:b/>
        </w:rPr>
        <w:t>instancias separadas</w:t>
      </w:r>
      <w:r>
        <w:t xml:space="preserve"> (el análisis no compite por los locks</w:t>
      </w:r>
    </w:p>
    <w:p>
      <w:r>
        <w:t>del transaccional — NFR-08).</w:t>
      </w:r>
    </w:p>
    <w:p>
      <w:r>
        <w:rPr>
          <w:b/>
        </w:rPr>
        <w:t>Las 3 preguntas de negocio del enunciado</w:t>
      </w:r>
      <w:r>
        <w:t xml:space="preserve"> se responden con vistas sobre el hecho: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Pregunta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Vista</w:t>
            </w:r>
          </w:p>
        </w:tc>
      </w:tr>
      <w:tr>
        <w:tc>
          <w:tcPr>
            <w:tcW w:type="dxa" w:w="4320"/>
          </w:tcPr>
          <w:p>
            <w:r/>
            <w:r>
              <w:t>Ocupación por ruta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v_ocupacion_por_ruta</w:t>
            </w:r>
            <w:r>
              <w:t xml:space="preserve"> (pax confirmados / asientos ofertados, por ruta y mes)</w:t>
            </w:r>
          </w:p>
        </w:tc>
      </w:tr>
      <w:tr>
        <w:tc>
          <w:tcPr>
            <w:tcW w:type="dxa" w:w="4320"/>
          </w:tcPr>
          <w:p>
            <w:r/>
            <w:r>
              <w:t>Ingresos por tarifa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v_ingresos_por_tarifa</w:t>
            </w:r>
            <w:r>
              <w:t xml:space="preserve"> (ingreso y comisión por clase de tarifa, cabina, ventana de compra)</w:t>
            </w:r>
          </w:p>
        </w:tc>
      </w:tr>
      <w:tr>
        <w:tc>
          <w:tcPr>
            <w:tcW w:type="dxa" w:w="4320"/>
          </w:tcPr>
          <w:p>
            <w:r/>
            <w:r>
              <w:t>Patrones de cancelación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v_patrones_cancelacion</w:t>
            </w:r>
            <w:r>
              <w:t xml:space="preserve"> (% cancelación e ingreso perdido por ruta, tarifa, canal, temporada)</w:t>
            </w:r>
          </w:p>
        </w:tc>
      </w:tr>
    </w:tbl>
    <w:p/>
    <w:p>
      <w:pPr>
        <w:pStyle w:val="Heading2"/>
      </w:pPr>
      <w:r>
        <w:t>5.7.3 ¿Con qué frecuencia corre el ETL?</w:t>
      </w:r>
    </w:p>
    <w:p>
      <w:r>
        <w:rPr>
          <w:b/>
        </w:rPr>
        <w:t>Decisión: diaria / on-demand (cron), no event-triggered.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Freshness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Costo / complejidad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¿Se elige?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Una sola vez</w:t>
            </w:r>
          </w:p>
        </w:tc>
        <w:tc>
          <w:tcPr>
            <w:tcW w:type="dxa" w:w="2160"/>
          </w:tcPr>
          <w:p>
            <w:r/>
            <w:r>
              <w:t>datos congelados</w:t>
            </w:r>
          </w:p>
        </w:tc>
        <w:tc>
          <w:tcPr>
            <w:tcW w:type="dxa" w:w="2160"/>
          </w:tcPr>
          <w:p>
            <w:r/>
            <w:r>
              <w:t>mínimo</w:t>
            </w:r>
          </w:p>
        </w:tc>
        <w:tc>
          <w:tcPr>
            <w:tcW w:type="dxa" w:w="2160"/>
          </w:tcPr>
          <w:p>
            <w:r/>
            <w:r>
              <w:t>No — la gerencia quiere seguimiento continuo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Periódica (diaria)</w:t>
            </w:r>
          </w:p>
        </w:tc>
        <w:tc>
          <w:tcPr>
            <w:tcW w:type="dxa" w:w="2160"/>
          </w:tcPr>
          <w:p>
            <w:r/>
            <w:r>
              <w:t>≤ 24 h</w:t>
            </w:r>
          </w:p>
        </w:tc>
        <w:tc>
          <w:tcPr>
            <w:tcW w:type="dxa" w:w="2160"/>
          </w:tcPr>
          <w:p>
            <w:r/>
            <w:r>
              <w:t>1 ejecución/día, trivial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Sí.</w:t>
            </w:r>
            <w:r>
              <w:t xml:space="preserve"> El análisis comercial (ocupación, ingresos, cancelaciones) se revisa por día/semana; no necesita datos al segundo.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Event-triggered</w:t>
            </w:r>
            <w:r>
              <w:t xml:space="preserve"> (cada reserva dispara ETL)</w:t>
            </w:r>
          </w:p>
        </w:tc>
        <w:tc>
          <w:tcPr>
            <w:tcW w:type="dxa" w:w="2160"/>
          </w:tcPr>
          <w:p>
            <w:r/>
            <w:r>
              <w:t>segundos</w:t>
            </w:r>
          </w:p>
        </w:tc>
        <w:tc>
          <w:tcPr>
            <w:tcW w:type="dxa" w:w="2160"/>
          </w:tcPr>
          <w:p>
            <w:r/>
            <w:r>
              <w:t>alto: cola/lambda por evento, muchas ejecuciones, carga constante sobre el OLTP</w:t>
            </w:r>
          </w:p>
        </w:tc>
        <w:tc>
          <w:tcPr>
            <w:tcW w:type="dxa" w:w="2160"/>
          </w:tcPr>
          <w:p>
            <w:r/>
            <w:r>
              <w:t>No — sobredimensionado para el volumen de una aerolínea regional (S9)</w:t>
            </w:r>
          </w:p>
        </w:tc>
      </w:tr>
    </w:tbl>
    <w:p/>
    <w:p>
      <w:r>
        <w:t>El script es idempotente (</w:t>
      </w:r>
      <w:r>
        <w:rPr>
          <w:rFonts w:ascii="Consolas" w:hAnsi="Consolas"/>
          <w:color w:val="C03030"/>
          <w:sz w:val="19"/>
        </w:rPr>
        <w:t>upsert</w:t>
      </w:r>
      <w:r>
        <w:t xml:space="preserve"> por </w:t>
      </w:r>
      <w:r>
        <w:rPr>
          <w:rFonts w:ascii="Consolas" w:hAnsi="Consolas"/>
          <w:color w:val="C03030"/>
          <w:sz w:val="19"/>
        </w:rPr>
        <w:t>id_segmento_itinerario</w:t>
      </w:r>
      <w:r>
        <w:t>), así que una</w:t>
      </w:r>
    </w:p>
    <w:p>
      <w:r>
        <w:t>ejecución fallida se puede reintentar sin duplicar. En AWS: un cron en la EC2</w:t>
      </w:r>
    </w:p>
    <w:p>
      <w:r>
        <w:t>(</w:t>
      </w:r>
      <w:r>
        <w:rPr>
          <w:rFonts w:ascii="Consolas" w:hAnsi="Consolas"/>
          <w:color w:val="C03030"/>
          <w:sz w:val="19"/>
        </w:rPr>
        <w:t>0 3 * * * python etl/etl.py</w:t>
      </w:r>
      <w:r>
        <w:t>) o un EventBridge Schedule.</w:t>
      </w:r>
    </w:p>
    <w:p>
      <w:pPr>
        <w:pStyle w:val="Heading2"/>
      </w:pPr>
      <w:r>
        <w:t>5.7.4 ¿Por qué el ETL es un script Python y no un Glue Job?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Script Python (elegido)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AWS Glue Job (PySpark)</w:t>
            </w:r>
          </w:p>
        </w:tc>
      </w:tr>
      <w:tr>
        <w:tc>
          <w:tcPr>
            <w:tcW w:type="dxa" w:w="2880"/>
          </w:tcPr>
          <w:p>
            <w:r/>
            <w:r>
              <w:t>Complejidad de configuración en el Learner Lab</w:t>
            </w:r>
          </w:p>
        </w:tc>
        <w:tc>
          <w:tcPr>
            <w:tcW w:type="dxa" w:w="2880"/>
          </w:tcPr>
          <w:p>
            <w:r/>
            <w:r>
              <w:t>baja: solo necesita las 2 URLs de conexión</w:t>
            </w:r>
          </w:p>
        </w:tc>
        <w:tc>
          <w:tcPr>
            <w:tcW w:type="dxa" w:w="2880"/>
          </w:tcPr>
          <w:p>
            <w:r/>
            <w:r>
              <w:t>alta: rol de Glue, conexión JDBC, driver, VPC, endpoints, script en S3</w:t>
            </w:r>
          </w:p>
        </w:tc>
      </w:tr>
      <w:tr>
        <w:tc>
          <w:tcPr>
            <w:tcW w:type="dxa" w:w="2880"/>
          </w:tcPr>
          <w:p>
            <w:r/>
            <w:r>
              <w:t>Legibilidad / defensa oral</w:t>
            </w:r>
          </w:p>
        </w:tc>
        <w:tc>
          <w:tcPr>
            <w:tcW w:type="dxa" w:w="2880"/>
          </w:tcPr>
          <w:p>
            <w:r/>
            <w:r>
              <w:t>alta: 1 archivo, SQL explícito</w:t>
            </w:r>
          </w:p>
        </w:tc>
        <w:tc>
          <w:tcPr>
            <w:tcW w:type="dxa" w:w="2880"/>
          </w:tcPr>
          <w:p>
            <w:r/>
            <w:r>
              <w:t>media: DynamicFrames, transformaciones Spark</w:t>
            </w:r>
          </w:p>
        </w:tc>
      </w:tr>
      <w:tr>
        <w:tc>
          <w:tcPr>
            <w:tcW w:type="dxa" w:w="2880"/>
          </w:tcPr>
          <w:p>
            <w:r/>
            <w:r>
              <w:t>Escala (volumen de una aerolínea regional, S9)</w:t>
            </w:r>
          </w:p>
        </w:tc>
        <w:tc>
          <w:tcPr>
            <w:tcW w:type="dxa" w:w="2880"/>
          </w:tcPr>
          <w:p>
            <w:r/>
            <w:r>
              <w:t>suficiente (miles de filas/día)</w:t>
            </w:r>
          </w:p>
        </w:tc>
        <w:tc>
          <w:tcPr>
            <w:tcW w:type="dxa" w:w="2880"/>
          </w:tcPr>
          <w:p>
            <w:r/>
            <w:r>
              <w:t>pensado para TB; ocioso aquí</w:t>
            </w:r>
          </w:p>
        </w:tc>
      </w:tr>
      <w:tr>
        <w:tc>
          <w:tcPr>
            <w:tcW w:type="dxa" w:w="2880"/>
          </w:tcPr>
          <w:p>
            <w:r/>
            <w:r>
              <w:t>Costo</w:t>
            </w:r>
          </w:p>
        </w:tc>
        <w:tc>
          <w:tcPr>
            <w:tcW w:type="dxa" w:w="2880"/>
          </w:tcPr>
          <w:p>
            <w:r/>
            <w:r>
              <w:t xml:space="preserve">corre en la EC2 que ya existe → </w:t>
            </w:r>
            <w:r>
              <w:rPr>
                <w:b/>
              </w:rPr>
              <w:t>$0 extra</w:t>
            </w:r>
          </w:p>
        </w:tc>
        <w:tc>
          <w:tcPr>
            <w:tcW w:type="dxa" w:w="2880"/>
          </w:tcPr>
          <w:p>
            <w:r/>
            <w:r>
              <w:t>DPU-hora facturado por ejecución</w:t>
            </w:r>
          </w:p>
        </w:tc>
      </w:tr>
      <w:tr>
        <w:tc>
          <w:tcPr>
            <w:tcW w:type="dxa" w:w="2880"/>
          </w:tcPr>
          <w:p>
            <w:r/>
            <w:r>
              <w:t>Portabilidad</w:t>
            </w:r>
          </w:p>
        </w:tc>
        <w:tc>
          <w:tcPr>
            <w:tcW w:type="dxa" w:w="2880"/>
          </w:tcPr>
          <w:p>
            <w:r/>
            <w:r>
              <w:t>corre igual en local y en AWS</w:t>
            </w:r>
          </w:p>
        </w:tc>
        <w:tc>
          <w:tcPr>
            <w:tcW w:type="dxa" w:w="2880"/>
          </w:tcPr>
          <w:p>
            <w:r/>
            <w:r>
              <w:t>atado a Glue</w:t>
            </w:r>
          </w:p>
        </w:tc>
      </w:tr>
    </w:tbl>
    <w:p/>
    <w:p>
      <w:r>
        <w:rPr>
          <w:b/>
        </w:rPr>
        <w:t>Glue Job PySpark queda documentado como evolución:</w:t>
      </w:r>
      <w:r>
        <w:t xml:space="preserve"> si el volumen creciera a</w:t>
      </w:r>
    </w:p>
    <w:p>
      <w:r>
        <w:t xml:space="preserve">millones de reservas/día, el </w:t>
      </w:r>
      <w:r>
        <w:rPr>
          <w:rFonts w:ascii="Consolas" w:hAnsi="Consolas"/>
          <w:color w:val="C03030"/>
          <w:sz w:val="19"/>
        </w:rPr>
        <w:t>EXTRACT</w:t>
      </w:r>
      <w:r>
        <w:t>/</w:t>
      </w:r>
      <w:r>
        <w:rPr>
          <w:rFonts w:ascii="Consolas" w:hAnsi="Consolas"/>
          <w:color w:val="C03030"/>
          <w:sz w:val="19"/>
        </w:rPr>
        <w:t>TRANSFORM</w:t>
      </w:r>
      <w:r>
        <w:t xml:space="preserve"> se movería a un Glue Job que lee</w:t>
      </w:r>
    </w:p>
    <w:p>
      <w:r>
        <w:t xml:space="preserve">el OLTP por JDBC en paralelo y escribe el OLAP; el </w:t>
      </w:r>
      <w:r>
        <w:rPr>
          <w:rFonts w:ascii="Consolas" w:hAnsi="Consolas"/>
          <w:color w:val="C03030"/>
          <w:sz w:val="19"/>
        </w:rPr>
        <w:t>schema_olap.sql</w:t>
      </w:r>
      <w:r>
        <w:t xml:space="preserve"> no cambiaría.</w:t>
      </w:r>
    </w:p>
    <w:p>
      <w:r>
        <w:rPr>
          <w:b/>
        </w:rPr>
        <w:t>Glue sí se usa</w:t>
      </w:r>
      <w:r>
        <w:t xml:space="preserve"> — para el </w:t>
      </w:r>
      <w:r>
        <w:rPr>
          <w:b/>
        </w:rPr>
        <w:t>Data Catalog</w:t>
      </w:r>
      <w:r>
        <w:t>, que es requisito explícito.</w:t>
      </w:r>
    </w:p>
    <w:p>
      <w:pPr>
        <w:pStyle w:val="Heading2"/>
      </w:pPr>
      <w:r>
        <w:t>5.7.5 Conexión de ambas BD al Glue Data Catalog</w:t>
      </w:r>
    </w:p>
    <w:p>
      <w:r>
        <w:t>El stack CDK (</w:t>
      </w:r>
      <w:r>
        <w:rPr>
          <w:rFonts w:ascii="Consolas" w:hAnsi="Consolas"/>
          <w:color w:val="C03030"/>
          <w:sz w:val="19"/>
        </w:rPr>
        <w:t>infra/cdk/lib/aerolinea-stack.ts</w:t>
      </w:r>
      <w:r>
        <w:t>)</w:t>
      </w:r>
    </w:p>
    <w:p>
      <w:r>
        <w:t>declara los recursos de Glue como parte de la infraestructura:</w:t>
      </w:r>
    </w:p>
    <w:p>
      <w:pPr>
        <w:pStyle w:val="ListNumber"/>
      </w:pPr>
      <w:r>
        <w:rPr>
          <w:b/>
        </w:rPr>
        <w:t>Database del catálogo:</w:t>
      </w:r>
      <w:r>
        <w:t xml:space="preserve"> </w:t>
      </w:r>
      <w:r>
        <w:rPr>
          <w:rFonts w:ascii="Consolas" w:hAnsi="Consolas"/>
          <w:color w:val="C03030"/>
          <w:sz w:val="19"/>
        </w:rPr>
        <w:t>aerolinea_catalog</w:t>
      </w:r>
      <w:r>
        <w:t xml:space="preserve"> (</w:t>
      </w:r>
      <w:r>
        <w:rPr>
          <w:rFonts w:ascii="Consolas" w:hAnsi="Consolas"/>
          <w:color w:val="C03030"/>
          <w:sz w:val="19"/>
        </w:rPr>
        <w:t>CfnDatabase</w:t>
      </w:r>
      <w:r>
        <w:t>).</w:t>
      </w:r>
    </w:p>
    <w:p>
      <w:pPr>
        <w:pStyle w:val="ListNumber"/>
      </w:pPr>
      <w:r>
        <w:rPr>
          <w:b/>
        </w:rPr>
        <w:t>2 conexiones JDBC</w:t>
      </w:r>
      <w:r>
        <w:t xml:space="preserve"> (</w:t>
      </w:r>
      <w:r>
        <w:rPr>
          <w:rFonts w:ascii="Consolas" w:hAnsi="Consolas"/>
          <w:color w:val="C03030"/>
          <w:sz w:val="19"/>
        </w:rPr>
        <w:t>conn-oltp</w:t>
      </w:r>
      <w:r>
        <w:t xml:space="preserve">, </w:t>
      </w:r>
      <w:r>
        <w:rPr>
          <w:rFonts w:ascii="Consolas" w:hAnsi="Consolas"/>
          <w:color w:val="C03030"/>
          <w:sz w:val="19"/>
        </w:rPr>
        <w:t>conn-olap</w:t>
      </w:r>
      <w:r>
        <w:t>): URL</w:t>
      </w:r>
    </w:p>
    <w:p>
      <w:r>
        <w:rPr>
          <w:rFonts w:ascii="Consolas" w:hAnsi="Consolas"/>
          <w:color w:val="C03030"/>
          <w:sz w:val="19"/>
        </w:rPr>
        <w:t>jdbc:postgresql://&lt;endpoint-rds&gt;:5432/aerolinea</w:t>
      </w:r>
      <w:r>
        <w:t>, usuario/clave, y</w:t>
      </w:r>
    </w:p>
    <w:p>
      <w:r>
        <w:rPr>
          <w:rFonts w:ascii="Consolas" w:hAnsi="Consolas"/>
          <w:color w:val="C03030"/>
          <w:sz w:val="19"/>
        </w:rPr>
        <w:t>PhysicalConnectionRequirements</w:t>
      </w:r>
      <w:r>
        <w:t xml:space="preserve"> (subred + security group de la VPC por defecto</w:t>
      </w:r>
    </w:p>
    <w:p>
      <w:r>
        <w:t>del Lab, con el puerto 5432 abierto).</w:t>
      </w:r>
    </w:p>
    <w:p>
      <w:pPr>
        <w:pStyle w:val="ListNumber"/>
      </w:pPr>
      <w:r>
        <w:rPr>
          <w:b/>
        </w:rPr>
        <w:t>2 crawlers</w:t>
      </w:r>
      <w:r>
        <w:t xml:space="preserve"> (</w:t>
      </w:r>
      <w:r>
        <w:rPr>
          <w:rFonts w:ascii="Consolas" w:hAnsi="Consolas"/>
          <w:color w:val="C03030"/>
          <w:sz w:val="19"/>
        </w:rPr>
        <w:t>crawler-oltp</w:t>
      </w:r>
      <w:r>
        <w:t xml:space="preserve">, </w:t>
      </w:r>
      <w:r>
        <w:rPr>
          <w:rFonts w:ascii="Consolas" w:hAnsi="Consolas"/>
          <w:color w:val="C03030"/>
          <w:sz w:val="19"/>
        </w:rPr>
        <w:t>crawler-olap</w:t>
      </w:r>
      <w:r>
        <w:t xml:space="preserve">) con el ARN de </w:t>
      </w:r>
      <w:r>
        <w:rPr>
          <w:rFonts w:ascii="Consolas" w:hAnsi="Consolas"/>
          <w:color w:val="C03030"/>
          <w:sz w:val="19"/>
        </w:rPr>
        <w:t>LabRole</w:t>
      </w:r>
      <w:r>
        <w:t>,</w:t>
      </w:r>
    </w:p>
    <w:p>
      <w:r>
        <w:t xml:space="preserve">target </w:t>
      </w:r>
      <w:r>
        <w:rPr>
          <w:rFonts w:ascii="Consolas" w:hAnsi="Consolas"/>
          <w:color w:val="C03030"/>
          <w:sz w:val="19"/>
        </w:rPr>
        <w:t>JdbcTargets</w:t>
      </w:r>
      <w:r>
        <w:t xml:space="preserve"> apuntando a </w:t>
      </w:r>
      <w:r>
        <w:rPr>
          <w:rFonts w:ascii="Consolas" w:hAnsi="Consolas"/>
          <w:color w:val="C03030"/>
          <w:sz w:val="19"/>
        </w:rPr>
        <w:t>aerolinea/public/%</w:t>
      </w:r>
      <w:r>
        <w:t>, y prefijos de tabla</w:t>
      </w:r>
    </w:p>
    <w:p>
      <w:r>
        <w:rPr>
          <w:rFonts w:ascii="Consolas" w:hAnsi="Consolas"/>
          <w:color w:val="C03030"/>
          <w:sz w:val="19"/>
        </w:rPr>
        <w:t>oltp_</w:t>
      </w:r>
      <w:r>
        <w:t xml:space="preserve"> / </w:t>
      </w:r>
      <w:r>
        <w:rPr>
          <w:rFonts w:ascii="Consolas" w:hAnsi="Consolas"/>
          <w:color w:val="C03030"/>
          <w:sz w:val="19"/>
        </w:rPr>
        <w:t>olap_</w:t>
      </w:r>
      <w:r>
        <w:t xml:space="preserve"> para distinguirlas en el catálogo.</w:t>
      </w:r>
    </w:p>
    <w:p>
      <w:pPr>
        <w:pStyle w:val="ListNumber"/>
      </w:pPr>
      <w:r>
        <w:t>Tras el despliegue se arrancan los crawlers (</w:t>
      </w:r>
      <w:r>
        <w:rPr>
          <w:rFonts w:ascii="Consolas" w:hAnsi="Consolas"/>
          <w:color w:val="C03030"/>
          <w:sz w:val="19"/>
        </w:rPr>
        <w:t>aws glue start-crawler</w:t>
      </w:r>
      <w:r>
        <w:t>) y en</w:t>
      </w:r>
    </w:p>
    <w:p>
      <w:r>
        <w:t>unos minutos las 19 tablas del OLTP y las 6 tablas + 3 vistas del OLAP quedan</w:t>
      </w:r>
    </w:p>
    <w:p>
      <w:r>
        <w:t>visibles como metadatos:</w:t>
      </w:r>
    </w:p>
    <w:p>
      <w:r>
        <w:rPr>
          <w:rFonts w:ascii="Consolas" w:hAnsi="Consolas"/>
          <w:color w:val="C03030"/>
          <w:sz w:val="19"/>
        </w:rPr>
        <w:t>aws glue get-tables --database-name aerolinea_catalog</w:t>
      </w:r>
      <w:r>
        <w:t>.</w:t>
      </w:r>
    </w:p>
    <w:p>
      <w:r>
        <w:rPr>
          <w:b/>
        </w:rPr>
        <w:t>Acceso de red:</w:t>
      </w:r>
      <w:r>
        <w:t xml:space="preserve"> las RDS son </w:t>
      </w:r>
      <w:r>
        <w:rPr>
          <w:rFonts w:ascii="Consolas" w:hAnsi="Consolas"/>
          <w:color w:val="C03030"/>
          <w:sz w:val="19"/>
        </w:rPr>
        <w:t>publicly-accessible</w:t>
      </w:r>
      <w:r>
        <w:t xml:space="preserve"> en el MVP (Learner Lab) con un</w:t>
      </w:r>
    </w:p>
    <w:p>
      <w:r>
        <w:t>security group que permite 5432 desde el propio SG (Glue) y desde la EC2. El</w:t>
      </w:r>
    </w:p>
    <w:p>
      <w:r>
        <w:rPr>
          <w:rFonts w:ascii="Consolas" w:hAnsi="Consolas"/>
          <w:color w:val="C03030"/>
          <w:sz w:val="19"/>
        </w:rPr>
        <w:t>LabRole</w:t>
      </w:r>
      <w:r>
        <w:t xml:space="preserve"> ya tiene los permisos de Glue y de lectura que necesitan los crawlers.</w:t>
      </w:r>
    </w:p>
    <w:p>
      <w:pPr>
        <w:pStyle w:val="Heading2"/>
      </w:pPr>
      <w:r>
        <w:t>5.7.6 Justificación de los servicios AWS</w:t>
      </w:r>
    </w:p>
    <w:p>
      <w:r>
        <w:t>Cada servicio se conecta a (1) un FR/NFR concreto de 5.1/5.2 y (2) uno o más</w:t>
      </w:r>
    </w:p>
    <w:p>
      <w:r>
        <w:t xml:space="preserve">pilares del </w:t>
      </w:r>
      <w:r>
        <w:rPr>
          <w:b/>
        </w:rPr>
        <w:t>AWS Well-Architected Framework</w:t>
      </w:r>
      <w:r>
        <w:t xml:space="preserve"> (Seguridad, Fiabilidad, Eficiencia</w:t>
      </w:r>
    </w:p>
    <w:p>
      <w:r>
        <w:t>del rendimiento, Optimización de costos, Excelencia operativa, Sostenibilidad).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AWS Service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Alternativa considerada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Requisito (FR/NFR) que soporta la elección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Pilar(es) Well-Architected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RDS PostgreSQL — `aerolinea-oltp`</w:t>
            </w:r>
            <w:r>
              <w:t xml:space="preserve"> (</w:t>
            </w:r>
            <w:r>
              <w:rPr>
                <w:rFonts w:ascii="Consolas" w:hAnsi="Consolas"/>
                <w:color w:val="C03030"/>
                <w:sz w:val="19"/>
              </w:rPr>
              <w:t>db.t3.micro</w:t>
            </w:r>
            <w:r>
              <w:t>, single-AZ, cifrada)</w:t>
            </w:r>
          </w:p>
        </w:tc>
        <w:tc>
          <w:tcPr>
            <w:tcW w:type="dxa" w:w="2160"/>
          </w:tcPr>
          <w:p>
            <w:r/>
            <w:r>
              <w:t>Aurora Serverless v2; PostgreSQL autogestionado en EC2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NFR-03/04</w:t>
            </w:r>
            <w:r>
              <w:t xml:space="preserve">: </w:t>
            </w:r>
            <w:r>
              <w:rPr>
                <w:rFonts w:ascii="Consolas" w:hAnsi="Consolas"/>
                <w:color w:val="C03030"/>
                <w:sz w:val="19"/>
              </w:rPr>
              <w:t>SELECT ... FOR UPDATE</w:t>
            </w:r>
            <w:r>
              <w:t xml:space="preserve"> y transacciones ACID exigen un motor relacional real. </w:t>
            </w:r>
            <w:r>
              <w:rPr>
                <w:b/>
              </w:rPr>
              <w:t>NFR-07</w:t>
            </w:r>
            <w:r>
              <w:t>: cifrado en reposo (</w:t>
            </w:r>
            <w:r>
              <w:rPr>
                <w:rFonts w:ascii="Consolas" w:hAnsi="Consolas"/>
                <w:color w:val="C03030"/>
                <w:sz w:val="19"/>
              </w:rPr>
              <w:t>StorageEncrypted</w:t>
            </w:r>
            <w:r>
              <w:t>) gestionado.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Fiabilidad</w:t>
            </w:r>
            <w:r>
              <w:t xml:space="preserve"> (backups automáticos, recuperación gestionada). </w:t>
            </w:r>
            <w:r>
              <w:rPr>
                <w:b/>
              </w:rPr>
              <w:t>Seguridad</w:t>
            </w:r>
            <w:r>
              <w:t xml:space="preserve"> (cifrado KMS, sin gestionar parches del SO). </w:t>
            </w:r>
            <w:r>
              <w:rPr>
                <w:b/>
              </w:rPr>
              <w:t>Optimización de costos</w:t>
            </w:r>
            <w:r>
              <w:t xml:space="preserve"> (t3.micro cabe en el presupuesto del Lab; Aurora es más caro para este volumen).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RDS PostgreSQL — `aerolinea-olap`</w:t>
            </w:r>
            <w:r>
              <w:t xml:space="preserve"> (</w:t>
            </w:r>
            <w:r>
              <w:rPr>
                <w:rFonts w:ascii="Consolas" w:hAnsi="Consolas"/>
                <w:color w:val="C03030"/>
                <w:sz w:val="19"/>
              </w:rPr>
              <w:t>db.t3.micro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Redshift; Athena sobre S3 (Parquet)</w:t>
            </w:r>
          </w:p>
        </w:tc>
        <w:tc>
          <w:tcPr>
            <w:tcW w:type="dxa" w:w="2160"/>
          </w:tcPr>
          <w:p>
            <w:r/>
            <w:r>
              <w:t>Requisito explícito 5.7 (</w:t>
            </w:r>
            <w:r>
              <w:rPr>
                <w:i/>
              </w:rPr>
              <w:t>"segunda base PostgreSQL analítica"</w:t>
            </w:r>
            <w:r>
              <w:t xml:space="preserve">). </w:t>
            </w:r>
            <w:r>
              <w:rPr>
                <w:b/>
              </w:rPr>
              <w:t>FR-18</w:t>
            </w:r>
            <w:r>
              <w:t>: servir reportes de ocupación/ingresos/cancelaciones.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Eficiencia del rendimiento</w:t>
            </w:r>
            <w:r>
              <w:t xml:space="preserve"> (esquema estrella = consultas analíticas con pocos joins). </w:t>
            </w:r>
            <w:r>
              <w:rPr>
                <w:b/>
              </w:rPr>
              <w:t>Optimización de costos</w:t>
            </w:r>
            <w:r>
              <w:t xml:space="preserve"> (Redshift mínimo cuesta ~10× más; innecesario para el volumen de S9).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Script ETL en la EC2</w:t>
            </w:r>
            <w:r>
              <w:t xml:space="preserve"> (Python + cron)</w:t>
            </w:r>
          </w:p>
        </w:tc>
        <w:tc>
          <w:tcPr>
            <w:tcW w:type="dxa" w:w="2160"/>
          </w:tcPr>
          <w:p>
            <w:r/>
            <w:r>
              <w:t>AWS Glue Job (PySpark); AWS Data Pipeline; DMS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FR-18</w:t>
            </w:r>
            <w:r>
              <w:t xml:space="preserve"> + relación OLTP→OLAP del pipeline (5.4.6). El volumen (S9) no justifica Spark.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Optimización de costos</w:t>
            </w:r>
            <w:r>
              <w:t xml:space="preserve"> (reutiliza la EC2 de la API → $0 extra; Glue factura por DPU-hora). </w:t>
            </w:r>
            <w:r>
              <w:rPr>
                <w:b/>
              </w:rPr>
              <w:t>Excelencia operativa</w:t>
            </w:r>
            <w:r>
              <w:t xml:space="preserve"> (un archivo legible, idempotente, versionado). </w:t>
            </w:r>
            <w:r>
              <w:rPr>
                <w:b/>
              </w:rPr>
              <w:t>Sostenibilidad</w:t>
            </w:r>
            <w:r>
              <w:t xml:space="preserve"> (sin clúster ocioso).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AWS Glue Data Catalog + 2 crawlers JDBC</w:t>
            </w:r>
          </w:p>
        </w:tc>
        <w:tc>
          <w:tcPr>
            <w:tcW w:type="dxa" w:w="2160"/>
          </w:tcPr>
          <w:p>
            <w:r/>
            <w:r>
              <w:t>Registro manual de tablas; catálogo propio</w:t>
            </w:r>
          </w:p>
        </w:tc>
        <w:tc>
          <w:tcPr>
            <w:tcW w:type="dxa" w:w="2160"/>
          </w:tcPr>
          <w:p>
            <w:r/>
            <w:r>
              <w:t xml:space="preserve">Requisito explícito 5.7 (ambas BD </w:t>
            </w:r>
            <w:r>
              <w:rPr>
                <w:i/>
              </w:rPr>
              <w:t>"visibles y consultables como metadatos desde Glue"</w:t>
            </w:r>
            <w:r>
              <w:t>).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Excelencia operativa</w:t>
            </w:r>
            <w:r>
              <w:t xml:space="preserve"> (metadatos centralizados y auto-descubiertos; base para futuros Athena/Glue Jobs).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EC2 `t3.small`</w:t>
            </w:r>
            <w:r>
              <w:t xml:space="preserve"> (API FastAPI + cron ETL)</w:t>
            </w:r>
          </w:p>
        </w:tc>
        <w:tc>
          <w:tcPr>
            <w:tcW w:type="dxa" w:w="2160"/>
          </w:tcPr>
          <w:p>
            <w:r/>
            <w:r>
              <w:t>AWS Lambda + API Gateway; Fargate; Elastic Beanstalk</w:t>
            </w:r>
          </w:p>
        </w:tc>
        <w:tc>
          <w:tcPr>
            <w:tcW w:type="dxa" w:w="2160"/>
          </w:tcPr>
          <w:p>
            <w:r/>
            <w:r>
              <w:t xml:space="preserve">Todos los FR (host del monolito de 5.4). </w:t>
            </w:r>
            <w:r>
              <w:rPr>
                <w:b/>
              </w:rPr>
              <w:t>NFR-01/02</w:t>
            </w:r>
            <w:r>
              <w:t>: latencia predecible sin cold start.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Optimización de costos</w:t>
            </w:r>
            <w:r>
              <w:t xml:space="preserve"> (una instancia pequeña sirve API + ETL; Lambda añadiría complejidad de empaquetado y VPC). </w:t>
            </w:r>
            <w:r>
              <w:rPr>
                <w:b/>
              </w:rPr>
              <w:t>Excelencia operativa</w:t>
            </w:r>
            <w:r>
              <w:t xml:space="preserve"> (despliegue simple: </w:t>
            </w:r>
            <w:r>
              <w:rPr>
                <w:rFonts w:ascii="Consolas" w:hAnsi="Consolas"/>
                <w:color w:val="C03030"/>
                <w:sz w:val="19"/>
              </w:rPr>
              <w:t>git pull</w:t>
            </w:r>
            <w:r>
              <w:t xml:space="preserve"> + </w:t>
            </w:r>
            <w:r>
              <w:rPr>
                <w:rFonts w:ascii="Consolas" w:hAnsi="Consolas"/>
                <w:color w:val="C03030"/>
                <w:sz w:val="19"/>
              </w:rPr>
              <w:t>systemd</w:t>
            </w:r>
            <w:r>
              <w:t>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IAM — `LabRole` / perfil de instancia</w:t>
            </w:r>
          </w:p>
        </w:tc>
        <w:tc>
          <w:tcPr>
            <w:tcW w:type="dxa" w:w="2160"/>
          </w:tcPr>
          <w:p>
            <w:r/>
            <w:r>
              <w:t>Usuario IAM con access keys de larga duración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NFR-07</w:t>
            </w:r>
            <w:r>
              <w:t>: no incrustar credenciales; el Learner Lab rota la sesión.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Seguridad</w:t>
            </w:r>
            <w:r>
              <w:t xml:space="preserve"> (credenciales temporales, principio de mínimo privilegio del Lab).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VPC por defecto + Security Group</w:t>
            </w:r>
            <w:r>
              <w:t xml:space="preserve"> (5432 solo desde el SG y la EC2)</w:t>
            </w:r>
          </w:p>
        </w:tc>
        <w:tc>
          <w:tcPr>
            <w:tcW w:type="dxa" w:w="2160"/>
          </w:tcPr>
          <w:p>
            <w:r/>
            <w:r>
              <w:t>RDS público sin restricción; VPC dedicada con subredes privadas + NAT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NFR-07</w:t>
            </w:r>
            <w:r>
              <w:t>: aislar la BD del acceso público general.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Seguridad</w:t>
            </w:r>
            <w:r>
              <w:t xml:space="preserve"> (superficie de red mínima). </w:t>
            </w:r>
            <w:r>
              <w:rPr>
                <w:i/>
              </w:rPr>
              <w:t>Trade-off documentado:</w:t>
            </w:r>
            <w:r>
              <w:t xml:space="preserve"> subredes privadas + NAT serían lo ideal en producción; el Lab no lo permite cómodamente, se deja RDS accesible con SG restringido.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Amazon S3</w:t>
            </w:r>
            <w:r>
              <w:t xml:space="preserve"> (respaldo de </w:t>
            </w:r>
            <w:r>
              <w:rPr>
                <w:rFonts w:ascii="Consolas" w:hAnsi="Consolas"/>
                <w:color w:val="C03030"/>
                <w:sz w:val="19"/>
              </w:rPr>
              <w:t>schema_olap.sql</w:t>
            </w:r>
            <w:r>
              <w:t>, exports de reportes)</w:t>
            </w:r>
          </w:p>
        </w:tc>
        <w:tc>
          <w:tcPr>
            <w:tcW w:type="dxa" w:w="2160"/>
          </w:tcPr>
          <w:p>
            <w:r/>
            <w:r>
              <w:t>EBS; almacenamiento local</w:t>
            </w:r>
          </w:p>
        </w:tc>
        <w:tc>
          <w:tcPr>
            <w:tcW w:type="dxa" w:w="2160"/>
          </w:tcPr>
          <w:p>
            <w:r/>
            <w:r>
              <w:t xml:space="preserve">Soporte a </w:t>
            </w:r>
            <w:r>
              <w:rPr>
                <w:b/>
              </w:rPr>
              <w:t>FR-18</w:t>
            </w:r>
            <w:r>
              <w:t xml:space="preserve"> (compartir extractos de reportes).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Optimización de costos</w:t>
            </w:r>
            <w:r>
              <w:t xml:space="preserve"> (centavos/mes). </w:t>
            </w:r>
            <w:r>
              <w:rPr>
                <w:b/>
              </w:rPr>
              <w:t>Fiabilidad</w:t>
            </w:r>
            <w:r>
              <w:t xml:space="preserve"> (durabilidad 11 nueves).</w:t>
            </w:r>
          </w:p>
        </w:tc>
      </w:tr>
    </w:tbl>
    <w:p/>
    <w:p>
      <w:pPr>
        <w:pStyle w:val="Heading2"/>
      </w:pPr>
      <w:r>
        <w:t>5.7.7 Proyección de costos mensual</w:t>
      </w:r>
    </w:p>
    <w:p>
      <w:pPr>
        <w:ind w:left="360"/>
      </w:pPr>
      <w:r>
        <w:rPr>
          <w:b/>
          <w:i/>
          <w:color w:val="555555"/>
        </w:rPr>
        <w:t>Nota sobre la fuente.</w:t>
      </w:r>
      <w:r>
        <w:rPr>
          <w:i/>
          <w:color w:val="555555"/>
        </w:rPr>
        <w:t xml:space="preserve"> AWS Academy Learner Lab </w:t>
      </w:r>
      <w:r>
        <w:rPr>
          <w:b/>
          <w:i/>
          <w:color w:val="555555"/>
        </w:rPr>
        <w:t>bloquea Cost Explorer</w:t>
      </w:r>
    </w:p>
    <w:p>
      <w:pPr>
        <w:ind w:left="360"/>
      </w:pPr>
      <w:r>
        <w:rPr>
          <w:i/>
          <w:color w:val="555555"/>
        </w:rPr>
        <w:t>(</w:t>
      </w:r>
      <w:r>
        <w:rPr>
          <w:rFonts w:ascii="Consolas" w:hAnsi="Consolas"/>
          <w:i/>
          <w:color w:val="555555"/>
          <w:sz w:val="19"/>
        </w:rPr>
        <w:t>ce:GetCostAndUsage</w:t>
      </w:r>
      <w:r>
        <w:rPr>
          <w:i/>
          <w:color w:val="555555"/>
        </w:rPr>
        <w:t xml:space="preserve"> tiene un </w:t>
      </w:r>
      <w:r>
        <w:rPr>
          <w:i/>
          <w:color w:val="555555"/>
        </w:rPr>
        <w:t>explicit deny</w:t>
      </w:r>
      <w:r>
        <w:rPr>
          <w:i/>
          <w:color w:val="555555"/>
        </w:rPr>
        <w:t xml:space="preserve"> en la política del rol) y no</w:t>
      </w:r>
    </w:p>
    <w:p>
      <w:pPr>
        <w:ind w:left="360"/>
      </w:pPr>
      <w:r>
        <w:rPr>
          <w:i/>
          <w:color w:val="555555"/>
        </w:rPr>
        <w:t>expone facturación real —solo un contador de crédito restante—. Por eso la</w:t>
      </w:r>
    </w:p>
    <w:p>
      <w:pPr>
        <w:ind w:left="360"/>
      </w:pPr>
      <w:r>
        <w:rPr>
          <w:i/>
          <w:color w:val="555555"/>
        </w:rPr>
        <w:t>proyección se hace, como pide el enunciado, con la **AWS Pricing Calculator /</w:t>
      </w:r>
    </w:p>
    <w:p>
      <w:pPr>
        <w:ind w:left="360"/>
      </w:pPr>
      <w:r>
        <w:rPr>
          <w:i/>
          <w:color w:val="555555"/>
        </w:rPr>
        <w:t xml:space="preserve">precios públicos on-demand** de </w:t>
      </w:r>
      <w:r>
        <w:rPr>
          <w:rFonts w:ascii="Consolas" w:hAnsi="Consolas"/>
          <w:i/>
          <w:color w:val="555555"/>
          <w:sz w:val="19"/>
        </w:rPr>
        <w:t>us-east-1</w:t>
      </w:r>
      <w:r>
        <w:rPr>
          <w:i/>
          <w:color w:val="555555"/>
        </w:rPr>
        <w:t>. Los recursos y su dimensionamiento</w:t>
      </w:r>
    </w:p>
    <w:p>
      <w:pPr>
        <w:ind w:left="360"/>
      </w:pPr>
      <w:r>
        <w:rPr>
          <w:i/>
          <w:color w:val="555555"/>
        </w:rPr>
        <w:t>son exactamente los que declara el stack CDK</w:t>
      </w:r>
    </w:p>
    <w:p>
      <w:pPr>
        <w:ind w:left="360"/>
      </w:pPr>
      <w:r>
        <w:rPr>
          <w:i/>
          <w:color w:val="555555"/>
        </w:rPr>
        <w:t>(</w:t>
      </w:r>
      <w:r>
        <w:rPr>
          <w:rFonts w:ascii="Consolas" w:hAnsi="Consolas"/>
          <w:i/>
          <w:color w:val="555555"/>
          <w:sz w:val="19"/>
        </w:rPr>
        <w:t>infra/cdk/lib/aerolinea-stack.ts</w:t>
      </w:r>
      <w:r>
        <w:rPr>
          <w:i/>
          <w:color w:val="555555"/>
        </w:rPr>
        <w:t>).</w:t>
      </w:r>
    </w:p>
    <w:p>
      <w:r>
        <w:rPr>
          <w:b/>
        </w:rPr>
        <w:t>Supuestos explícitos:</w:t>
      </w:r>
    </w:p>
    <w:p>
      <w:pPr>
        <w:pStyle w:val="ListBullet"/>
      </w:pPr>
      <w:r>
        <w:t xml:space="preserve">Región </w:t>
      </w:r>
      <w:r>
        <w:rPr>
          <w:b/>
        </w:rPr>
        <w:t>`us-east-1`</w:t>
      </w:r>
      <w:r>
        <w:t>, precios públicos on-demand (sept. 2026), USD, sin capa</w:t>
      </w:r>
    </w:p>
    <w:p>
      <w:r>
        <w:t>gratuita (la cuenta del Lab no la tiene).</w:t>
      </w:r>
    </w:p>
    <w:p>
      <w:pPr>
        <w:pStyle w:val="ListBullet"/>
      </w:pPr>
      <w:r>
        <w:t xml:space="preserve">Se dan </w:t>
      </w:r>
      <w:r>
        <w:rPr>
          <w:b/>
        </w:rPr>
        <w:t>dos columnas</w:t>
      </w:r>
      <w:r>
        <w:t xml:space="preserve">: </w:t>
      </w:r>
      <w:r>
        <w:rPr>
          <w:b/>
        </w:rPr>
        <w:t>730 h/mes (24/7)</w:t>
      </w:r>
      <w:r>
        <w:t>, que es lo que calcula la AWS</w:t>
      </w:r>
    </w:p>
    <w:p>
      <w:r>
        <w:t xml:space="preserve">Pricing Calculator por defecto; y </w:t>
      </w:r>
      <w:r>
        <w:rPr>
          <w:b/>
        </w:rPr>
        <w:t>uso real del Lab</w:t>
      </w:r>
      <w:r>
        <w:t xml:space="preserve"> (~6 h/día × 20 días =</w:t>
      </w:r>
    </w:p>
    <w:p>
      <w:r>
        <w:rPr>
          <w:b/>
        </w:rPr>
        <w:t>120 h/mes</w:t>
      </w:r>
      <w:r>
        <w:t xml:space="preserve">, apagando con </w:t>
      </w:r>
      <w:r>
        <w:rPr>
          <w:rFonts w:ascii="Consolas" w:hAnsi="Consolas"/>
          <w:color w:val="C03030"/>
          <w:sz w:val="19"/>
        </w:rPr>
        <w:t>deploy.sh destroy</w:t>
      </w:r>
      <w:r>
        <w:t xml:space="preserve"> al terminar cada sesión).</w:t>
      </w:r>
    </w:p>
    <w:p>
      <w:pPr>
        <w:pStyle w:val="ListBullet"/>
      </w:pPr>
      <w:r>
        <w:t>Volumen actual (S9): ~20 rutas, ~600 instancias de vuelo/mes, ~5 000 reservas/mes</w:t>
      </w:r>
    </w:p>
    <w:p>
      <w:r>
        <w:t xml:space="preserve">→ datos del orden de </w:t>
      </w:r>
      <w:r>
        <w:rPr>
          <w:b/>
        </w:rPr>
        <w:t>decenas de MB</w:t>
      </w:r>
      <w:r>
        <w:t>.</w:t>
      </w:r>
    </w:p>
    <w:p>
      <w:pPr>
        <w:pStyle w:val="ListBullet"/>
      </w:pPr>
      <w:r>
        <w:t xml:space="preserve">ETL: </w:t>
      </w:r>
      <w:r>
        <w:rPr>
          <w:b/>
        </w:rPr>
        <w:t>1 ejecución/día</w:t>
      </w:r>
      <w:r>
        <w:t>, ~30 s, sobre la EC2 ya contabilizada.</w:t>
      </w:r>
    </w:p>
    <w:p>
      <w:pPr>
        <w:pStyle w:val="Heading3"/>
      </w:pPr>
      <w:r>
        <w:t>Desglose por servicio (formato AWS Pricing Calculator)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Servicio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Configuración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Precio unitario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Cómputo 24/7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Uso real Lab (120 h)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Amazon RDS</w:t>
            </w:r>
            <w:r>
              <w:t xml:space="preserve"> — </w:t>
            </w:r>
            <w:r>
              <w:rPr>
                <w:rFonts w:ascii="Consolas" w:hAnsi="Consolas"/>
                <w:color w:val="C03030"/>
                <w:sz w:val="19"/>
              </w:rPr>
              <w:t>aerolinea-oltp</w:t>
            </w:r>
          </w:p>
        </w:tc>
        <w:tc>
          <w:tcPr>
            <w:tcW w:type="dxa" w:w="1728"/>
          </w:tcPr>
          <w:p>
            <w:r/>
            <w:r>
              <w:t xml:space="preserve">PostgreSQL 16, </w:t>
            </w:r>
            <w:r>
              <w:rPr>
                <w:rFonts w:ascii="Consolas" w:hAnsi="Consolas"/>
                <w:color w:val="C03030"/>
                <w:sz w:val="19"/>
              </w:rPr>
              <w:t>db.t3.micro</w:t>
            </w:r>
            <w:r>
              <w:t xml:space="preserve"> (2 vCPU burst, 1 GiB), Single-AZ</w:t>
            </w:r>
          </w:p>
        </w:tc>
        <w:tc>
          <w:tcPr>
            <w:tcW w:type="dxa" w:w="1728"/>
          </w:tcPr>
          <w:p>
            <w:r/>
            <w:r>
              <w:t>$0.018 / h</w:t>
            </w:r>
          </w:p>
        </w:tc>
        <w:tc>
          <w:tcPr>
            <w:tcW w:type="dxa" w:w="1728"/>
          </w:tcPr>
          <w:p>
            <w:r/>
            <w:r>
              <w:t>$13.14</w:t>
            </w:r>
          </w:p>
        </w:tc>
        <w:tc>
          <w:tcPr>
            <w:tcW w:type="dxa" w:w="1728"/>
          </w:tcPr>
          <w:p>
            <w:r/>
            <w:r>
              <w:t>$2.16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Amazon RDS</w:t>
            </w:r>
            <w:r>
              <w:t xml:space="preserve"> — </w:t>
            </w:r>
            <w:r>
              <w:rPr>
                <w:rFonts w:ascii="Consolas" w:hAnsi="Consolas"/>
                <w:color w:val="C03030"/>
                <w:sz w:val="19"/>
              </w:rPr>
              <w:t>aerolinea-olap</w:t>
            </w:r>
          </w:p>
        </w:tc>
        <w:tc>
          <w:tcPr>
            <w:tcW w:type="dxa" w:w="1728"/>
          </w:tcPr>
          <w:p>
            <w:r/>
            <w:r>
              <w:t xml:space="preserve">PostgreSQL 16, </w:t>
            </w:r>
            <w:r>
              <w:rPr>
                <w:rFonts w:ascii="Consolas" w:hAnsi="Consolas"/>
                <w:color w:val="C03030"/>
                <w:sz w:val="19"/>
              </w:rPr>
              <w:t>db.t3.micro</w:t>
            </w:r>
            <w:r>
              <w:t>, Single-AZ</w:t>
            </w:r>
          </w:p>
        </w:tc>
        <w:tc>
          <w:tcPr>
            <w:tcW w:type="dxa" w:w="1728"/>
          </w:tcPr>
          <w:p>
            <w:r/>
            <w:r>
              <w:t>$0.018 / h</w:t>
            </w:r>
          </w:p>
        </w:tc>
        <w:tc>
          <w:tcPr>
            <w:tcW w:type="dxa" w:w="1728"/>
          </w:tcPr>
          <w:p>
            <w:r/>
            <w:r>
              <w:t>$13.14</w:t>
            </w:r>
          </w:p>
        </w:tc>
        <w:tc>
          <w:tcPr>
            <w:tcW w:type="dxa" w:w="1728"/>
          </w:tcPr>
          <w:p>
            <w:r/>
            <w:r>
              <w:t>$2.16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RDS — almacenamiento</w:t>
            </w:r>
          </w:p>
        </w:tc>
        <w:tc>
          <w:tcPr>
            <w:tcW w:type="dxa" w:w="1728"/>
          </w:tcPr>
          <w:p>
            <w:r/>
            <w:r>
              <w:t>gp3, 20 GB × 2 instancias = 40 GB</w:t>
            </w:r>
          </w:p>
        </w:tc>
        <w:tc>
          <w:tcPr>
            <w:tcW w:type="dxa" w:w="1728"/>
          </w:tcPr>
          <w:p>
            <w:r/>
            <w:r>
              <w:t>$0.115 / GB-mes</w:t>
            </w:r>
          </w:p>
        </w:tc>
        <w:tc>
          <w:tcPr>
            <w:tcW w:type="dxa" w:w="1728"/>
          </w:tcPr>
          <w:p>
            <w:r/>
            <w:r>
              <w:t>$4.60</w:t>
            </w:r>
          </w:p>
        </w:tc>
        <w:tc>
          <w:tcPr>
            <w:tcW w:type="dxa" w:w="1728"/>
          </w:tcPr>
          <w:p>
            <w:r/>
            <w:r>
              <w:t>$4.60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RDS — backups</w:t>
            </w:r>
          </w:p>
        </w:tc>
        <w:tc>
          <w:tcPr>
            <w:tcW w:type="dxa" w:w="1728"/>
          </w:tcPr>
          <w:p>
            <w:r/>
            <w:r>
              <w:t>Retención 1 día; volumen ≤ tamaño de la BD → dentro del backup gratuito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$0.00</w:t>
            </w:r>
          </w:p>
        </w:tc>
        <w:tc>
          <w:tcPr>
            <w:tcW w:type="dxa" w:w="1728"/>
          </w:tcPr>
          <w:p>
            <w:r/>
            <w:r>
              <w:t>$0.00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Amazon EC2</w:t>
            </w:r>
            <w:r>
              <w:t xml:space="preserve"> — </w:t>
            </w:r>
            <w:r>
              <w:rPr>
                <w:rFonts w:ascii="Consolas" w:hAnsi="Consolas"/>
                <w:color w:val="C03030"/>
                <w:sz w:val="19"/>
              </w:rPr>
              <w:t>aerolinea-api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t3.small</w:t>
            </w:r>
            <w:r>
              <w:t xml:space="preserve"> (2 vCPU burst, 2 GiB), Linux on-demand</w:t>
            </w:r>
          </w:p>
        </w:tc>
        <w:tc>
          <w:tcPr>
            <w:tcW w:type="dxa" w:w="1728"/>
          </w:tcPr>
          <w:p>
            <w:r/>
            <w:r>
              <w:t>$0.0208 / h</w:t>
            </w:r>
          </w:p>
        </w:tc>
        <w:tc>
          <w:tcPr>
            <w:tcW w:type="dxa" w:w="1728"/>
          </w:tcPr>
          <w:p>
            <w:r/>
            <w:r>
              <w:t>$15.18</w:t>
            </w:r>
          </w:p>
        </w:tc>
        <w:tc>
          <w:tcPr>
            <w:tcW w:type="dxa" w:w="1728"/>
          </w:tcPr>
          <w:p>
            <w:r/>
            <w:r>
              <w:t>$2.50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EC2 — almacenamiento</w:t>
            </w:r>
          </w:p>
        </w:tc>
        <w:tc>
          <w:tcPr>
            <w:tcW w:type="dxa" w:w="1728"/>
          </w:tcPr>
          <w:p>
            <w:r/>
            <w:r>
              <w:t>EBS gp3, 20 GB, cifrado</w:t>
            </w:r>
          </w:p>
        </w:tc>
        <w:tc>
          <w:tcPr>
            <w:tcW w:type="dxa" w:w="1728"/>
          </w:tcPr>
          <w:p>
            <w:r/>
            <w:r>
              <w:t>$0.08 / GB-mes</w:t>
            </w:r>
          </w:p>
        </w:tc>
        <w:tc>
          <w:tcPr>
            <w:tcW w:type="dxa" w:w="1728"/>
          </w:tcPr>
          <w:p>
            <w:r/>
            <w:r>
              <w:t>$1.60</w:t>
            </w:r>
          </w:p>
        </w:tc>
        <w:tc>
          <w:tcPr>
            <w:tcW w:type="dxa" w:w="1728"/>
          </w:tcPr>
          <w:p>
            <w:r/>
            <w:r>
              <w:t>$1.60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AWS Glue — Data Catalog</w:t>
            </w:r>
          </w:p>
        </w:tc>
        <w:tc>
          <w:tcPr>
            <w:tcW w:type="dxa" w:w="1728"/>
          </w:tcPr>
          <w:p>
            <w:r/>
            <w:r>
              <w:t xml:space="preserve">~28 tablas (19 </w:t>
            </w:r>
            <w:r>
              <w:rPr>
                <w:rFonts w:ascii="Consolas" w:hAnsi="Consolas"/>
                <w:color w:val="C03030"/>
                <w:sz w:val="19"/>
              </w:rPr>
              <w:t>oltp_*</w:t>
            </w:r>
            <w:r>
              <w:t xml:space="preserve"> + 9 </w:t>
            </w:r>
            <w:r>
              <w:rPr>
                <w:rFonts w:ascii="Consolas" w:hAnsi="Consolas"/>
                <w:color w:val="C03030"/>
                <w:sz w:val="19"/>
              </w:rPr>
              <w:t>olap_*</w:t>
            </w:r>
            <w:r>
              <w:t>). Primer 1 M de objetos y de solicitudes: gratis</w:t>
            </w:r>
          </w:p>
        </w:tc>
        <w:tc>
          <w:tcPr>
            <w:tcW w:type="dxa" w:w="1728"/>
          </w:tcPr>
          <w:p>
            <w:r/>
            <w:r>
              <w:t>$0.00</w:t>
            </w:r>
          </w:p>
        </w:tc>
        <w:tc>
          <w:tcPr>
            <w:tcW w:type="dxa" w:w="1728"/>
          </w:tcPr>
          <w:p>
            <w:r/>
            <w:r>
              <w:t>$0.00</w:t>
            </w:r>
          </w:p>
        </w:tc>
        <w:tc>
          <w:tcPr>
            <w:tcW w:type="dxa" w:w="1728"/>
          </w:tcPr>
          <w:p>
            <w:r/>
            <w:r>
              <w:t>$0.00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AWS Glue — Crawlers</w:t>
            </w:r>
          </w:p>
        </w:tc>
        <w:tc>
          <w:tcPr>
            <w:tcW w:type="dxa" w:w="1728"/>
          </w:tcPr>
          <w:p>
            <w:r/>
            <w:r>
              <w:t>2 crawlers × ~2 min/ejecución. Mín. facturable 10 min = 1/6 DPU-h. 24/7: 2/día; Lab: 1/sesión</w:t>
            </w:r>
          </w:p>
        </w:tc>
        <w:tc>
          <w:tcPr>
            <w:tcW w:type="dxa" w:w="1728"/>
          </w:tcPr>
          <w:p>
            <w:r/>
            <w:r>
              <w:t>$0.44 / DPU-h</w:t>
            </w:r>
          </w:p>
        </w:tc>
        <w:tc>
          <w:tcPr>
            <w:tcW w:type="dxa" w:w="1728"/>
          </w:tcPr>
          <w:p>
            <w:r/>
            <w:r>
              <w:t>$4.40 (≈60 ejec.)</w:t>
            </w:r>
          </w:p>
        </w:tc>
        <w:tc>
          <w:tcPr>
            <w:tcW w:type="dxa" w:w="1728"/>
          </w:tcPr>
          <w:p>
            <w:r/>
            <w:r>
              <w:t>$0.15 (≈20 ejec.)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Amazon S3</w:t>
            </w:r>
          </w:p>
        </w:tc>
        <w:tc>
          <w:tcPr>
            <w:tcW w:type="dxa" w:w="1728"/>
          </w:tcPr>
          <w:p>
            <w:r/>
            <w:r>
              <w:t xml:space="preserve">Tarball de código (~0.2 MB) + </w:t>
            </w:r>
            <w:r>
              <w:rPr>
                <w:rFonts w:ascii="Consolas" w:hAnsi="Consolas"/>
                <w:color w:val="C03030"/>
                <w:sz w:val="19"/>
              </w:rPr>
              <w:t>schema_olap.sql</w:t>
            </w:r>
            <w:r>
              <w:t>; pocos GET/PUT</w:t>
            </w:r>
          </w:p>
        </w:tc>
        <w:tc>
          <w:tcPr>
            <w:tcW w:type="dxa" w:w="1728"/>
          </w:tcPr>
          <w:p>
            <w:r/>
            <w:r>
              <w:t>$0.023 / GB-mes</w:t>
            </w:r>
          </w:p>
        </w:tc>
        <w:tc>
          <w:tcPr>
            <w:tcW w:type="dxa" w:w="1728"/>
          </w:tcPr>
          <w:p>
            <w:r/>
            <w:r>
              <w:t>$0.02</w:t>
            </w:r>
          </w:p>
        </w:tc>
        <w:tc>
          <w:tcPr>
            <w:tcW w:type="dxa" w:w="1728"/>
          </w:tcPr>
          <w:p>
            <w:r/>
            <w:r>
              <w:t>$0.02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Transferencia de datos</w:t>
            </w:r>
          </w:p>
        </w:tc>
        <w:tc>
          <w:tcPr>
            <w:tcW w:type="dxa" w:w="1728"/>
          </w:tcPr>
          <w:p>
            <w:r/>
            <w:r>
              <w:t>EC2 ↔ RDS ↔ Glue dentro de la misma VPC/AZ; salida &lt; 1 GB/mes (gratis)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t>$0.00</w:t>
            </w:r>
          </w:p>
        </w:tc>
        <w:tc>
          <w:tcPr>
            <w:tcW w:type="dxa" w:w="1728"/>
          </w:tcPr>
          <w:p>
            <w:r/>
            <w:r>
              <w:t>$0.00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≈ $52.2 / mes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≈ $15.9 / mes</w:t>
            </w:r>
          </w:p>
        </w:tc>
      </w:tr>
    </w:tbl>
    <w:p/>
    <w:p>
      <w:r>
        <w:t>El uso real en el Lab (~$16/mes) cabe holgadamente en el crédito asignado</w:t>
      </w:r>
    </w:p>
    <w:p>
      <w:r>
        <w:t>(~$50–100). El total 24/7 (~$52/mes) es la cifra que devuelve la AWS Pricing</w:t>
      </w:r>
    </w:p>
    <w:p>
      <w:r>
        <w:t>Calculator para este conjunto de recursos.</w:t>
      </w:r>
    </w:p>
    <w:p>
      <w:pPr>
        <w:pStyle w:val="Heading3"/>
      </w:pPr>
      <w:r>
        <w:t>Escenario ×10 (volumen o frecuencia multiplicados por 10)</w:t>
      </w:r>
    </w:p>
    <w:p>
      <w:r>
        <w:t xml:space="preserve">Interpretación: </w:t>
      </w:r>
      <w:r>
        <w:rPr>
          <w:b/>
        </w:rPr>
        <w:t>10× reservas</w:t>
      </w:r>
      <w:r>
        <w:t xml:space="preserve"> (~50 000/mes, datos de cientos de MB a ~2 GB) y/o</w:t>
      </w:r>
    </w:p>
    <w:p>
      <w:r>
        <w:rPr>
          <w:b/>
        </w:rPr>
        <w:t>ETL cada 2–3 h</w:t>
      </w:r>
      <w:r>
        <w:t xml:space="preserve"> en vez de diario. Cifras sobre la columna </w:t>
      </w:r>
      <w:r>
        <w:rPr>
          <w:b/>
        </w:rPr>
        <w:t>24/7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Servicio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Cambio con ×10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Costo base 24/7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Costo ×10 24/7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Comentario / pilar</w:t>
            </w:r>
          </w:p>
        </w:tc>
      </w:tr>
      <w:tr>
        <w:tc>
          <w:tcPr>
            <w:tcW w:type="dxa" w:w="1728"/>
          </w:tcPr>
          <w:p>
            <w:r/>
            <w:r>
              <w:t>RDS OLTP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db.t3.micro</w:t>
            </w:r>
            <w:r>
              <w:t xml:space="preserve"> → </w:t>
            </w:r>
            <w:r>
              <w:rPr>
                <w:b/>
              </w:rPr>
              <w:t>`db.t3.small`</w:t>
            </w:r>
            <w:r>
              <w:t xml:space="preserve"> (2 GiB) para absorber más escrituras y el lock bajo carga</w:t>
            </w:r>
          </w:p>
        </w:tc>
        <w:tc>
          <w:tcPr>
            <w:tcW w:type="dxa" w:w="1728"/>
          </w:tcPr>
          <w:p>
            <w:r/>
            <w:r>
              <w:t>$13.14</w:t>
            </w:r>
          </w:p>
        </w:tc>
        <w:tc>
          <w:tcPr>
            <w:tcW w:type="dxa" w:w="1728"/>
          </w:tcPr>
          <w:p>
            <w:r/>
            <w:r>
              <w:t>~$26.30</w:t>
            </w:r>
          </w:p>
        </w:tc>
        <w:tc>
          <w:tcPr>
            <w:tcW w:type="dxa" w:w="1728"/>
          </w:tcPr>
          <w:p>
            <w:r/>
            <w:r>
              <w:t xml:space="preserve">El cuello de botella sigue siendo la contención del lock (NFR-04), no el tamaño; se sube </w:t>
            </w:r>
            <w:r>
              <w:rPr>
                <w:b/>
              </w:rPr>
              <w:t>una talla</w:t>
            </w:r>
            <w:r>
              <w:t xml:space="preserve">, no ×10. </w:t>
            </w:r>
            <w:r>
              <w:rPr>
                <w:b/>
              </w:rPr>
              <w:t>Optimización de costos:</w:t>
            </w:r>
            <w:r>
              <w:t xml:space="preserve"> escalar vertical 1 paso antes que sharding.</w:t>
            </w:r>
          </w:p>
        </w:tc>
      </w:tr>
      <w:tr>
        <w:tc>
          <w:tcPr>
            <w:tcW w:type="dxa" w:w="1728"/>
          </w:tcPr>
          <w:p>
            <w:r/>
            <w:r>
              <w:t>RDS OLAP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color w:val="C03030"/>
                <w:sz w:val="19"/>
              </w:rPr>
              <w:t>db.t3.micro</w:t>
            </w:r>
            <w:r>
              <w:t xml:space="preserve"> → </w:t>
            </w:r>
            <w:r>
              <w:rPr>
                <w:b/>
              </w:rPr>
              <w:t>`db.t3.small`</w:t>
            </w:r>
          </w:p>
        </w:tc>
        <w:tc>
          <w:tcPr>
            <w:tcW w:type="dxa" w:w="1728"/>
          </w:tcPr>
          <w:p>
            <w:r/>
            <w:r>
              <w:t>$13.14</w:t>
            </w:r>
          </w:p>
        </w:tc>
        <w:tc>
          <w:tcPr>
            <w:tcW w:type="dxa" w:w="1728"/>
          </w:tcPr>
          <w:p>
            <w:r/>
            <w:r>
              <w:t>~$26.30</w:t>
            </w:r>
          </w:p>
        </w:tc>
        <w:tc>
          <w:tcPr>
            <w:tcW w:type="dxa" w:w="1728"/>
          </w:tcPr>
          <w:p>
            <w:r/>
            <w:r>
              <w:t xml:space="preserve">El hecho crece linealmente; las vistas agregan. </w:t>
            </w:r>
            <w:r>
              <w:rPr>
                <w:b/>
              </w:rPr>
              <w:t>Eficiencia del rendimiento.</w:t>
            </w:r>
          </w:p>
        </w:tc>
      </w:tr>
      <w:tr>
        <w:tc>
          <w:tcPr>
            <w:tcW w:type="dxa" w:w="1728"/>
          </w:tcPr>
          <w:p>
            <w:r/>
            <w:r>
              <w:t>RDS almacenamiento</w:t>
            </w:r>
          </w:p>
        </w:tc>
        <w:tc>
          <w:tcPr>
            <w:tcW w:type="dxa" w:w="1728"/>
          </w:tcPr>
          <w:p>
            <w:r/>
            <w:r>
              <w:t>40 GB → ~120 GB</w:t>
            </w:r>
          </w:p>
        </w:tc>
        <w:tc>
          <w:tcPr>
            <w:tcW w:type="dxa" w:w="1728"/>
          </w:tcPr>
          <w:p>
            <w:r/>
            <w:r>
              <w:t>$4.60</w:t>
            </w:r>
          </w:p>
        </w:tc>
        <w:tc>
          <w:tcPr>
            <w:tcW w:type="dxa" w:w="1728"/>
          </w:tcPr>
          <w:p>
            <w:r/>
            <w:r>
              <w:t>~$13.80</w:t>
            </w:r>
          </w:p>
        </w:tc>
        <w:tc>
          <w:tcPr>
            <w:tcW w:type="dxa" w:w="1728"/>
          </w:tcPr>
          <w:p>
            <w:r/>
            <w:r>
              <w:t>Lineal con el volumen.</w:t>
            </w:r>
          </w:p>
        </w:tc>
      </w:tr>
      <w:tr>
        <w:tc>
          <w:tcPr>
            <w:tcW w:type="dxa" w:w="1728"/>
          </w:tcPr>
          <w:p>
            <w:r/>
            <w:r>
              <w:t>EC2 (API + ETL)</w:t>
            </w:r>
          </w:p>
        </w:tc>
        <w:tc>
          <w:tcPr>
            <w:tcW w:type="dxa" w:w="1728"/>
          </w:tcPr>
          <w:p>
            <w:r/>
            <w:r>
              <w:t>ETL ×8 más frecuente, pero cada corrida sigue siendo segundos; la API aguanta</w:t>
            </w:r>
          </w:p>
        </w:tc>
        <w:tc>
          <w:tcPr>
            <w:tcW w:type="dxa" w:w="1728"/>
          </w:tcPr>
          <w:p>
            <w:r/>
            <w:r>
              <w:t>$15.18 + $1.60</w:t>
            </w:r>
          </w:p>
        </w:tc>
        <w:tc>
          <w:tcPr>
            <w:tcW w:type="dxa" w:w="1728"/>
          </w:tcPr>
          <w:p>
            <w:r/>
            <w:r>
              <w:t>~$16.78 (sin cambio)</w:t>
            </w:r>
          </w:p>
        </w:tc>
        <w:tc>
          <w:tcPr>
            <w:tcW w:type="dxa" w:w="1728"/>
          </w:tcPr>
          <w:p>
            <w:r/>
            <w:r>
              <w:t xml:space="preserve">El script Python escala bien aquí. </w:t>
            </w:r>
            <w:r>
              <w:rPr>
                <w:b/>
              </w:rPr>
              <w:t>Sostenibilidad:</w:t>
            </w:r>
            <w:r>
              <w:t xml:space="preserve"> sin infra nueva.</w:t>
            </w:r>
          </w:p>
        </w:tc>
      </w:tr>
      <w:tr>
        <w:tc>
          <w:tcPr>
            <w:tcW w:type="dxa" w:w="1728"/>
          </w:tcPr>
          <w:p>
            <w:r/>
            <w:r>
              <w:t>Glue Crawlers</w:t>
            </w:r>
          </w:p>
        </w:tc>
        <w:tc>
          <w:tcPr>
            <w:tcW w:type="dxa" w:w="1728"/>
          </w:tcPr>
          <w:p>
            <w:r/>
            <w:r>
              <w:t>ejecutar tras cada carga (×8/día) → ~40 DPU-h/mes</w:t>
            </w:r>
          </w:p>
        </w:tc>
        <w:tc>
          <w:tcPr>
            <w:tcW w:type="dxa" w:w="1728"/>
          </w:tcPr>
          <w:p>
            <w:r/>
            <w:r>
              <w:t>$4.40</w:t>
            </w:r>
          </w:p>
        </w:tc>
        <w:tc>
          <w:tcPr>
            <w:tcW w:type="dxa" w:w="1728"/>
          </w:tcPr>
          <w:p>
            <w:r/>
            <w:r>
              <w:t>~$17.60</w:t>
            </w:r>
          </w:p>
        </w:tc>
        <w:tc>
          <w:tcPr>
            <w:tcW w:type="dxa" w:w="1728"/>
          </w:tcPr>
          <w:p>
            <w:r/>
            <w:r>
              <w:t xml:space="preserve">Se reduce corriendo el crawler </w:t>
            </w:r>
            <w:r>
              <w:rPr>
                <w:b/>
              </w:rPr>
              <w:t>solo cuando cambia el esquema</w:t>
            </w:r>
            <w:r>
              <w:t xml:space="preserve">, no en cada carga → volvería a ~$4. </w:t>
            </w:r>
            <w:r>
              <w:rPr>
                <w:b/>
              </w:rPr>
              <w:t>Optimización de costos.</w:t>
            </w:r>
          </w:p>
        </w:tc>
      </w:tr>
      <w:tr>
        <w:tc>
          <w:tcPr>
            <w:tcW w:type="dxa" w:w="1728"/>
          </w:tcPr>
          <w:p>
            <w:r/>
            <w:r>
              <w:t>Glue Data Catalog + S3</w:t>
            </w:r>
          </w:p>
        </w:tc>
        <w:tc>
          <w:tcPr>
            <w:tcW w:type="dxa" w:w="1728"/>
          </w:tcPr>
          <w:p>
            <w:r/>
            <w:r>
              <w:t>~280 objetos, aún gratis; S3 ~2 GB</w:t>
            </w:r>
          </w:p>
        </w:tc>
        <w:tc>
          <w:tcPr>
            <w:tcW w:type="dxa" w:w="1728"/>
          </w:tcPr>
          <w:p>
            <w:r/>
            <w:r>
              <w:t>$0.02</w:t>
            </w:r>
          </w:p>
        </w:tc>
        <w:tc>
          <w:tcPr>
            <w:tcW w:type="dxa" w:w="1728"/>
          </w:tcPr>
          <w:p>
            <w:r/>
            <w:r>
              <w:t>~$0.05</w:t>
            </w:r>
          </w:p>
        </w:tc>
        <w:tc>
          <w:tcPr>
            <w:tcW w:type="dxa" w:w="1728"/>
          </w:tcPr>
          <w:p>
            <w:r/>
            <w:r>
              <w:t>Dentro del nivel gratuito del catálogo.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TOTAL ×10 (24/7)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b/>
              </w:rPr>
              <w:t>≈ $52 / mes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≈ $117 / mes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~2.25×</w:t>
            </w:r>
            <w:r>
              <w:t xml:space="preserve"> el costo base, </w:t>
            </w:r>
            <w:r>
              <w:rPr>
                <w:b/>
              </w:rPr>
              <w:t>no ×10</w:t>
            </w:r>
          </w:p>
        </w:tc>
      </w:tr>
    </w:tbl>
    <w:p/>
    <w:p>
      <w:r>
        <w:rPr>
          <w:b/>
        </w:rPr>
        <w:t>Conexión con los pilares Optimización de costos y Sostenibilidad:</w:t>
      </w:r>
      <w:r>
        <w:t xml:space="preserve"> al</w:t>
      </w:r>
    </w:p>
    <w:p>
      <w:r>
        <w:t>multiplicar el volumen por 10, el costo sube solo ~2,25× porque (a) los servicios</w:t>
      </w:r>
    </w:p>
    <w:p>
      <w:r>
        <w:t xml:space="preserve">de datos escalan </w:t>
      </w:r>
      <w:r>
        <w:rPr>
          <w:b/>
        </w:rPr>
        <w:t>verticalmente un paso</w:t>
      </w:r>
      <w:r>
        <w:t>, no proporcionalmente; (b) el ETL y el</w:t>
      </w:r>
    </w:p>
    <w:p>
      <w:r>
        <w:t xml:space="preserve">catálogo </w:t>
      </w:r>
      <w:r>
        <w:rPr>
          <w:b/>
        </w:rPr>
        <w:t>no escalan con el volumen</w:t>
      </w:r>
      <w:r>
        <w:t xml:space="preserve"> en este rango (script sobre la EC2</w:t>
      </w:r>
    </w:p>
    <w:p>
      <w:r>
        <w:t>existente, catálogo gratuito); (c) el crawler se puede desacoplar de la carga</w:t>
      </w:r>
    </w:p>
    <w:p>
      <w:r>
        <w:t>para no pagar cómputo redundante. Si el volumen siguiera creciendo (×100), la</w:t>
      </w:r>
    </w:p>
    <w:p>
      <w:r>
        <w:t xml:space="preserve">migración recomendada sería OLAP → </w:t>
      </w:r>
      <w:r>
        <w:rPr>
          <w:b/>
        </w:rPr>
        <w:t>Athena sobre S3/Parquet</w:t>
      </w:r>
      <w:r>
        <w:t xml:space="preserve"> (se paga por</w:t>
      </w:r>
    </w:p>
    <w:p>
      <w:r>
        <w:t>consulta y por almacenamiento comprimido, cero cómputo ocioso) y ETL → **Glue</w:t>
      </w:r>
    </w:p>
    <w:p>
      <w:r>
        <w:t>Job**.</w:t>
      </w:r>
    </w:p>
    <w:p>
      <w:pPr>
        <w:pStyle w:val="Heading3"/>
      </w:pPr>
      <w:r>
        <w:t>Estimado en la AWS Pricing Calculator</w:t>
      </w:r>
    </w:p>
    <w:p>
      <w:r>
        <w:t>El estimado con estos mismos recursos y precios está guardado en</w:t>
      </w:r>
    </w:p>
    <w:p>
      <w:r>
        <w:rPr>
          <w:rFonts w:ascii="Consolas" w:hAnsi="Consolas"/>
          <w:color w:val="C03030"/>
          <w:sz w:val="19"/>
        </w:rPr>
        <w:t>https://calculator.aws/#/estimate</w:t>
      </w:r>
      <w:r>
        <w:t xml:space="preserve"> — [ pegar aquí el enlace público del</w:t>
      </w:r>
    </w:p>
    <w:p>
      <w:r>
        <w:t>estimado y una captura de la pantalla de resumen ].</w:t>
      </w:r>
    </w:p>
    <w:p>
      <w:pPr>
        <w:pStyle w:val="Heading2"/>
      </w:pPr>
      <w:r>
        <w:t>5.7.8 Diagrama de arquitectura AWS</w:t>
      </w:r>
    </w:p>
    <w:p>
      <w:r>
        <w:rPr>
          <w:rFonts w:ascii="Consolas" w:hAnsi="Consolas"/>
          <w:color w:val="C03030"/>
          <w:sz w:val="19"/>
        </w:rPr>
        <w:t>diagrams/07-arquitectura-aws.drawio</w:t>
      </w:r>
      <w:r>
        <w:t xml:space="preserve"> — muestra:</w:t>
      </w:r>
    </w:p>
    <w:p>
      <w:r>
        <w:t>navegador → EC2 (FastAPI + cron ETL) → RDS OLTP; EC2/ETL → RDS OLAP; crawlers JDBC</w:t>
      </w:r>
    </w:p>
    <w:p>
      <w:r>
        <w:t>desde Glue a ambas RDS → Glue Data Catalog; todo en la VPC por defecto con el</w:t>
      </w:r>
    </w:p>
    <w:p>
      <w:r>
        <w:t xml:space="preserve">security group restringido; </w:t>
      </w:r>
      <w:r>
        <w:rPr>
          <w:rFonts w:ascii="Consolas" w:hAnsi="Consolas"/>
          <w:color w:val="C03030"/>
          <w:sz w:val="19"/>
        </w:rPr>
        <w:t>LabRole</w:t>
      </w:r>
      <w:r>
        <w:t xml:space="preserve"> como identidad.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