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Apéndice — Registro de prompts (prompt log)</w:t>
      </w:r>
    </w:p>
    <w:p>
      <w:pPr>
        <w:ind w:left="360"/>
      </w:pPr>
      <w:r>
        <w:rPr>
          <w:i/>
          <w:color w:val="555555"/>
        </w:rPr>
        <w:t>Requisito del enunciado (§4): registro breve de los principales prompts usados</w:t>
      </w:r>
    </w:p>
    <w:p>
      <w:pPr>
        <w:ind w:left="360"/>
      </w:pPr>
      <w:r>
        <w:rPr>
          <w:i/>
          <w:color w:val="555555"/>
        </w:rPr>
        <w:t>y cómo el equipo los refinó o corrigió.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El diseño (requisitos, supuestos, modelo de datos, decisiones de arquitectura,</w:t>
      </w:r>
    </w:p>
    <w:p>
      <w:pPr>
        <w:ind w:left="360"/>
      </w:pPr>
      <w:r>
        <w:rPr>
          <w:i/>
          <w:color w:val="555555"/>
        </w:rPr>
        <w:t>métricas de los NFR, alcance) lo definió el equipo. El asistente de IA se usó</w:t>
      </w:r>
    </w:p>
    <w:p>
      <w:pPr>
        <w:ind w:left="360"/>
      </w:pPr>
      <w:r>
        <w:rPr>
          <w:i/>
          <w:color w:val="555555"/>
        </w:rPr>
        <w:t>como apoyo para redactar, generar código base a partir de esas decisiones,</w:t>
      </w:r>
    </w:p>
    <w:p>
      <w:pPr>
        <w:ind w:left="360"/>
      </w:pPr>
      <w:r>
        <w:rPr>
          <w:i/>
          <w:color w:val="555555"/>
        </w:rPr>
        <w:t>encontrar errores y acelerar tareas mecánicas (conversión a Word, diagramas).</w:t>
      </w:r>
    </w:p>
    <w:p>
      <w:pPr>
        <w:ind w:left="360"/>
      </w:pPr>
      <w:r>
        <w:rPr>
          <w:i/>
          <w:color w:val="555555"/>
        </w:rPr>
        <w:t>Cada decisión generada con su ayuda se revisó y se puede sustentar.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Instrucción del equipo (resumen)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Aporte del asistente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Qué corrigió / decidió el equipo</w:t>
            </w:r>
          </w:p>
        </w:tc>
      </w:tr>
      <w:tr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Encuadre</w:t>
            </w:r>
          </w:p>
        </w:tc>
        <w:tc>
          <w:tcPr>
            <w:tcW w:type="dxa" w:w="1728"/>
          </w:tcPr>
          <w:p>
            <w:r/>
            <w:r>
              <w:t>"Analizamos el enunciado. El escenario es una aerolínea regional, despliegue en AWS Academy. Queremos monolito, PostgreSQL y control de sobreventa con bloqueo. Propón un plan de trabajo por fases."</w:t>
            </w:r>
          </w:p>
        </w:tc>
        <w:tc>
          <w:tcPr>
            <w:tcW w:type="dxa" w:w="1728"/>
          </w:tcPr>
          <w:p>
            <w:r/>
            <w:r>
              <w:t>Borrador de plan por fases y estructura de carpetas del repo.</w:t>
            </w:r>
          </w:p>
        </w:tc>
        <w:tc>
          <w:tcPr>
            <w:tcW w:type="dxa" w:w="1728"/>
          </w:tcPr>
          <w:p>
            <w:r/>
            <w:r>
              <w:t>El equipo fijó las decisiones de fondo (monolito, bloqueo pesimista, alcance mínimo) antes de pedir el plan.</w:t>
            </w:r>
          </w:p>
        </w:tc>
      </w:tr>
      <w:tr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Contexto y supuestos</w:t>
            </w:r>
          </w:p>
        </w:tc>
        <w:tc>
          <w:tcPr>
            <w:tcW w:type="dxa" w:w="1728"/>
          </w:tcPr>
          <w:p>
            <w:r/>
            <w:r>
              <w:t>"Redacta el documento de contexto y la lista de supuestos S1–S10 a partir de estas decisiones nuestras: hold de 15 min, asiento se asigna en check-in, vuelo programado ≠ instancia, itinerario como entidad propia, sin programa de viajero frecuente en el MVP…"</w:t>
            </w:r>
          </w:p>
        </w:tc>
        <w:tc>
          <w:tcPr>
            <w:tcW w:type="dxa" w:w="1728"/>
          </w:tcPr>
          <w:p>
            <w:r/>
            <w:r>
              <w:t>Redacción del documento y tabla de supuestos con "impacto si cambia".</w:t>
            </w:r>
          </w:p>
        </w:tc>
        <w:tc>
          <w:tcPr>
            <w:tcW w:type="dxa" w:w="1728"/>
          </w:tcPr>
          <w:p>
            <w:r/>
            <w:r>
              <w:t>El equipo definió cada supuesto y su justificación; ajustó la redacción de S4, S7 y S9.</w:t>
            </w:r>
          </w:p>
        </w:tc>
      </w:tr>
      <w:tr>
        <w:tc>
          <w:tcPr>
            <w:tcW w:type="dxa" w:w="1728"/>
          </w:tcPr>
          <w:p>
            <w:r/>
            <w:r>
              <w:t>P3</w:t>
            </w:r>
          </w:p>
        </w:tc>
        <w:tc>
          <w:tcPr>
            <w:tcW w:type="dxa" w:w="1728"/>
          </w:tcPr>
          <w:p>
            <w:r/>
            <w:r>
              <w:t>Requisitos 5.1 / 5.2</w:t>
            </w:r>
          </w:p>
        </w:tc>
        <w:tc>
          <w:tcPr>
            <w:tcW w:type="dxa" w:w="1728"/>
          </w:tcPr>
          <w:p>
            <w:r/>
            <w:r>
              <w:t>"Con estos actores (pasajero, agente de agencia, staff de aeropuerto, admin) y estas reglas de negocio, arma la tabla de 18 FR. Para los NFR queremos: búsqueda p95 &lt; 800 ms directos / &lt; 1,5 s con escalas, invariante de no sobreventa, 99,9 % disponibilidad, sin almacenar PAN/CVV, auditoría append-only."</w:t>
            </w:r>
          </w:p>
        </w:tc>
        <w:tc>
          <w:tcPr>
            <w:tcW w:type="dxa" w:w="1728"/>
          </w:tcPr>
          <w:p>
            <w:r/>
            <w:r>
              <w:t>Tablas de FR y NFR en el formato pedido; propuso categorías y verificación de cada NFR.</w:t>
            </w:r>
          </w:p>
        </w:tc>
        <w:tc>
          <w:tcPr>
            <w:tcW w:type="dxa" w:w="1728"/>
          </w:tcPr>
          <w:p>
            <w:r/>
            <w:r>
              <w:t>El equipo fijó los valores concretos de las métricas y la prioridad de cada FR; revisó que cada NFR tuviera métrica + riesgo de negocio.</w:t>
            </w:r>
          </w:p>
        </w:tc>
      </w:tr>
      <w:tr>
        <w:tc>
          <w:tcPr>
            <w:tcW w:type="dxa" w:w="1728"/>
          </w:tcPr>
          <w:p>
            <w:r/>
            <w:r>
              <w:t>P4</w:t>
            </w:r>
          </w:p>
        </w:tc>
        <w:tc>
          <w:tcPr>
            <w:tcW w:type="dxa" w:w="1728"/>
          </w:tcPr>
          <w:p>
            <w:r/>
            <w:r>
              <w:t>Modelo E-R 5.3</w:t>
            </w:r>
          </w:p>
        </w:tc>
        <w:tc>
          <w:tcPr>
            <w:tcW w:type="dxa" w:w="1728"/>
          </w:tcPr>
          <w:p>
            <w:r/>
            <w:r>
              <w:t xml:space="preserve">"Modela el E-R con notación Crow's Foot. Entidades mínimas + las que hagan falta. Decisiones nuestras: inventario por cabina (contador, no por silla), </w:t>
            </w:r>
            <w:r>
              <w:rPr>
                <w:rFonts w:ascii="Consolas" w:hAnsi="Consolas"/>
                <w:color w:val="C03030"/>
                <w:sz w:val="19"/>
              </w:rPr>
              <w:t>VUELO_PROGRAMADO</w:t>
            </w:r>
            <w:r>
              <w:t xml:space="preserve"> vs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ITINERARIO</w:t>
            </w:r>
            <w:r>
              <w:t xml:space="preserve"> entre </w:t>
            </w:r>
            <w:r>
              <w:rPr>
                <w:rFonts w:ascii="Consolas" w:hAnsi="Consolas"/>
                <w:color w:val="C03030"/>
                <w:sz w:val="19"/>
              </w:rPr>
              <w:t>RESERVA</w:t>
            </w:r>
            <w:r>
              <w:t xml:space="preserve"> e </w:t>
            </w:r>
            <w:r>
              <w:rPr>
                <w:rFonts w:ascii="Consolas" w:hAnsi="Consolas"/>
                <w:color w:val="C03030"/>
                <w:sz w:val="19"/>
              </w:rPr>
              <w:t>INSTANCIA_VUELO</w:t>
            </w:r>
            <w:r>
              <w:t>, OLTP en 3FN."</w:t>
            </w:r>
          </w:p>
        </w:tc>
        <w:tc>
          <w:tcPr>
            <w:tcW w:type="dxa" w:w="1728"/>
          </w:tcPr>
          <w:p>
            <w:r/>
            <w:r>
              <w:t xml:space="preserve">Diccionario de datos de las 19 entidades y el diagrama </w:t>
            </w:r>
            <w:r>
              <w:rPr>
                <w:rFonts w:ascii="Consolas" w:hAnsi="Consolas"/>
                <w:color w:val="C03030"/>
                <w:sz w:val="19"/>
              </w:rPr>
              <w:t>.drawio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El equipo revisó el diagrama: pidió reorganizarlo en 5 bandas por capa, en español, y con conectores ortogonales (sin líneas en diagonal ni cruces sobre cajas).</w:t>
            </w:r>
          </w:p>
        </w:tc>
      </w:tr>
      <w:tr>
        <w:tc>
          <w:tcPr>
            <w:tcW w:type="dxa" w:w="1728"/>
          </w:tcPr>
          <w:p>
            <w:r/>
            <w:r>
              <w:t>P5</w:t>
            </w:r>
          </w:p>
        </w:tc>
        <w:tc>
          <w:tcPr>
            <w:tcW w:type="dxa" w:w="1728"/>
          </w:tcPr>
          <w:p>
            <w:r/>
            <w:r>
              <w:t>Arquitectura 5.4 / 5.5</w:t>
            </w:r>
          </w:p>
        </w:tc>
        <w:tc>
          <w:tcPr>
            <w:tcW w:type="dxa" w:w="1728"/>
          </w:tcPr>
          <w:p>
            <w:r/>
            <w:r>
              <w:t xml:space="preserve">"Redacta la arquitectura backend y frontend. Cada decisión debe citar el FR/NFR que la origina. Backend: monolito modular,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 xml:space="preserve"> con orden determinista, pago delegado a pasarela externa, agencias por la misma API. Frontend: SPA, manejo del 409 sin WebSocket, i18n/multi-moneda preparados."</w:t>
            </w:r>
          </w:p>
        </w:tc>
        <w:tc>
          <w:tcPr>
            <w:tcW w:type="dxa" w:w="1728"/>
          </w:tcPr>
          <w:p>
            <w:r/>
            <w:r>
              <w:t xml:space="preserve">Documentos </w:t>
            </w:r>
            <w:r>
              <w:rPr>
                <w:rFonts w:ascii="Consolas" w:hAnsi="Consolas"/>
                <w:color w:val="C03030"/>
                <w:sz w:val="19"/>
              </w:rPr>
              <w:t>04</w:t>
            </w:r>
            <w:r>
              <w:t xml:space="preserve"> y </w:t>
            </w:r>
            <w:r>
              <w:rPr>
                <w:rFonts w:ascii="Consolas" w:hAnsi="Consolas"/>
                <w:color w:val="C03030"/>
                <w:sz w:val="19"/>
              </w:rPr>
              <w:t>05</w:t>
            </w:r>
            <w:r>
              <w:t xml:space="preserve"> con las alternativas descartadas (bloqueo optimista, cola, SSR) argumentadas.</w:t>
            </w:r>
          </w:p>
        </w:tc>
        <w:tc>
          <w:tcPr>
            <w:tcW w:type="dxa" w:w="1728"/>
          </w:tcPr>
          <w:p>
            <w:r/>
            <w:r>
              <w:t>El equipo definió el mecanismo de concurrencia y la postura sobre WebSocket; ajustó la sección de canal de agencias.</w:t>
            </w:r>
          </w:p>
        </w:tc>
      </w:tr>
      <w:tr>
        <w:tc>
          <w:tcPr>
            <w:tcW w:type="dxa" w:w="1728"/>
          </w:tcPr>
          <w:p>
            <w:r/>
            <w:r>
              <w:t>P6</w:t>
            </w:r>
          </w:p>
        </w:tc>
        <w:tc>
          <w:tcPr>
            <w:tcW w:type="dxa" w:w="1728"/>
          </w:tcPr>
          <w:p>
            <w:r/>
            <w:r>
              <w:t>Simplificación</w:t>
            </w:r>
          </w:p>
        </w:tc>
        <w:tc>
          <w:tcPr>
            <w:tcW w:type="dxa" w:w="1728"/>
          </w:tcPr>
          <w:p>
            <w:r/>
            <w:r>
              <w:t>"El montaje con Docker es demasiado para el alcance del parcial. Queremos PostgreSQL nativo en local y el ETL como script Python simple; Glue solo para el Data Catalog."</w:t>
            </w:r>
          </w:p>
        </w:tc>
        <w:tc>
          <w:tcPr>
            <w:tcW w:type="dxa" w:w="1728"/>
          </w:tcPr>
          <w:p>
            <w:r/>
            <w:r>
              <w:t xml:space="preserve">Quitó Docker, añadió </w:t>
            </w:r>
            <w:r>
              <w:rPr>
                <w:rFonts w:ascii="Consolas" w:hAnsi="Consolas"/>
                <w:color w:val="C03030"/>
                <w:sz w:val="19"/>
              </w:rPr>
              <w:t>setup-postgres-local.sh</w:t>
            </w:r>
            <w:r>
              <w:t xml:space="preserve">, ajustó la configuración a </w:t>
            </w:r>
            <w:r>
              <w:rPr>
                <w:rFonts w:ascii="Consolas" w:hAnsi="Consolas"/>
                <w:color w:val="C03030"/>
                <w:sz w:val="19"/>
              </w:rPr>
              <w:t>localhost:5432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 xml:space="preserve">Decisión del equipo. Se descartó SQLite porque no soporta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>, que es justo lo que se evalúa. El código no cambió.</w:t>
            </w:r>
          </w:p>
        </w:tc>
      </w:tr>
      <w:tr>
        <w:tc>
          <w:tcPr>
            <w:tcW w:type="dxa" w:w="1728"/>
          </w:tcPr>
          <w:p>
            <w:r/>
            <w:r>
              <w:t>P7</w:t>
            </w:r>
          </w:p>
        </w:tc>
        <w:tc>
          <w:tcPr>
            <w:tcW w:type="dxa" w:w="1728"/>
          </w:tcPr>
          <w:p>
            <w:r/>
            <w:r>
              <w:t>Implementación backend 5.6</w:t>
            </w:r>
          </w:p>
        </w:tc>
        <w:tc>
          <w:tcPr>
            <w:tcW w:type="dxa" w:w="1728"/>
          </w:tcPr>
          <w:p>
            <w:r/>
            <w:r>
              <w:t xml:space="preserve">"Implementa el backend según 5.4: FastAPI + PostgreSQL con el modelo 5.3, endpoints buscar/crear/consultar, y </w:t>
            </w:r>
            <w:r>
              <w:rPr>
                <w:rFonts w:ascii="Consolas" w:hAnsi="Consolas"/>
                <w:color w:val="C03030"/>
                <w:sz w:val="19"/>
              </w:rPr>
              <w:t>crear_reserva</w:t>
            </w:r>
            <w:r>
              <w:t xml:space="preserve"> con el bloqueo pesimista. Necesitamos una prueba que demuestre que 20 peticiones simultáneas por el último asiento dan 1 reserva y 19 rechazos."</w:t>
            </w:r>
          </w:p>
        </w:tc>
        <w:tc>
          <w:tcPr>
            <w:tcW w:type="dxa" w:w="1728"/>
          </w:tcPr>
          <w:p>
            <w:r/>
            <w:r>
              <w:t>Código base (SQLAlchemy 2, Alembic, servicios) y dos pruebas de concurrencia (capa de servicio con 20 hilos + API HTTP en vivo).</w:t>
            </w:r>
          </w:p>
        </w:tc>
        <w:tc>
          <w:tcPr>
            <w:tcW w:type="dxa" w:w="1728"/>
          </w:tcPr>
          <w:p>
            <w:r/>
            <w:r>
              <w:t xml:space="preserve">El equipo revisó que el código reflejara 5.4; documentó las desviaciones D1–D6 en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§5.6.3. Ninguna obligó a cambiar el modelo E-R. Ambas pruebas pasan: 1 × 201, 19 × 409, sin sobreventa.</w:t>
            </w:r>
          </w:p>
        </w:tc>
      </w:tr>
      <w:tr>
        <w:tc>
          <w:tcPr>
            <w:tcW w:type="dxa" w:w="1728"/>
          </w:tcPr>
          <w:p>
            <w:r/>
            <w:r>
              <w:t>P8</w:t>
            </w:r>
          </w:p>
        </w:tc>
        <w:tc>
          <w:tcPr>
            <w:tcW w:type="dxa" w:w="1728"/>
          </w:tcPr>
          <w:p>
            <w:r/>
            <w:r>
              <w:t>Implementación AWS 5.7</w:t>
            </w:r>
          </w:p>
        </w:tc>
        <w:tc>
          <w:tcPr>
            <w:tcW w:type="dxa" w:w="1728"/>
          </w:tcPr>
          <w:p>
            <w:r/>
            <w:r>
              <w:t xml:space="preserve">"Diseña el OLAP en esquema estrella que responda ocupación por ruta / ingresos por tarifa / patrones de cancelación. El ETL Python: EXTRACT una consulta a nivel de segmento, TRANSFORM desnormaliza y deriva </w:t>
            </w:r>
            <w:r>
              <w:rPr>
                <w:rFonts w:ascii="Consolas" w:hAnsi="Consolas"/>
                <w:color w:val="C03030"/>
                <w:sz w:val="19"/>
              </w:rPr>
              <w:t>par_ruta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temporada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ventana_compra</w:t>
            </w:r>
            <w:r>
              <w:t>, LOAD upsert idempotente. Justifica cada servicio AWS con un FR/NFR y un pilar Well-Architected, y proyecta costos + escenario ×10."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 xml:space="preserve"> (hecho + 5 dims + 3 vistas), </w:t>
            </w:r>
            <w:r>
              <w:rPr>
                <w:rFonts w:ascii="Consolas" w:hAnsi="Consolas"/>
                <w:color w:val="C03030"/>
                <w:sz w:val="19"/>
              </w:rPr>
              <w:t>etl/etl.py</w:t>
            </w:r>
            <w:r>
              <w:t>, tabla de servicios y proyección de costos.</w:t>
            </w:r>
          </w:p>
        </w:tc>
        <w:tc>
          <w:tcPr>
            <w:tcW w:type="dxa" w:w="1728"/>
          </w:tcPr>
          <w:p>
            <w:r/>
            <w:r>
              <w:t xml:space="preserve">El equipo decidió el grano del hecho, la frecuencia del ETL (diaria, no event-triggered) y por qué script Python y no Glue Job. Corrigió la vista </w:t>
            </w:r>
            <w:r>
              <w:rPr>
                <w:rFonts w:ascii="Consolas" w:hAnsi="Consolas"/>
                <w:color w:val="C03030"/>
                <w:sz w:val="19"/>
              </w:rPr>
              <w:t>v_ocupacion_por_ruta</w:t>
            </w:r>
            <w:r>
              <w:t xml:space="preserve"> (el denominador salía inflado por repetición de filas → se reescribió con CTEs).</w:t>
            </w:r>
          </w:p>
        </w:tc>
      </w:tr>
      <w:tr>
        <w:tc>
          <w:tcPr>
            <w:tcW w:type="dxa" w:w="1728"/>
          </w:tcPr>
          <w:p>
            <w:r/>
            <w:r>
              <w:t>P9</w:t>
            </w:r>
          </w:p>
        </w:tc>
        <w:tc>
          <w:tcPr>
            <w:tcW w:type="dxa" w:w="1728"/>
          </w:tcPr>
          <w:p>
            <w:r/>
            <w:r>
              <w:t>Constraint (sección 3)</w:t>
            </w:r>
          </w:p>
        </w:tc>
        <w:tc>
          <w:tcPr>
            <w:tcW w:type="dxa" w:w="1728"/>
          </w:tcPr>
          <w:p>
            <w:r/>
            <w:r>
              <w:t>"El profesor aclaró que no habrá restricción específica del equipo; en su lugar hará una pregunta en la sustentación. Quita todo lo referido a eso."</w:t>
            </w:r>
          </w:p>
        </w:tc>
        <w:tc>
          <w:tcPr>
            <w:tcW w:type="dxa" w:w="1728"/>
          </w:tcPr>
          <w:p>
            <w:r/>
            <w:r>
              <w:t>Eliminó los marcadores de restricción de los 5 documentos donde aparecían.</w:t>
            </w:r>
          </w:p>
        </w:tc>
        <w:tc>
          <w:tcPr>
            <w:tcW w:type="dxa" w:w="1728"/>
          </w:tcPr>
          <w:p>
            <w:r/>
            <w:r>
              <w:t>El diseño no cambia.</w:t>
            </w:r>
          </w:p>
        </w:tc>
      </w:tr>
      <w:tr>
        <w:tc>
          <w:tcPr>
            <w:tcW w:type="dxa" w:w="1728"/>
          </w:tcPr>
          <w:p>
            <w:r/>
            <w:r>
              <w:t>P10</w:t>
            </w:r>
          </w:p>
        </w:tc>
        <w:tc>
          <w:tcPr>
            <w:tcW w:type="dxa" w:w="1728"/>
          </w:tcPr>
          <w:p>
            <w:r/>
            <w:r>
              <w:t>Despliegue en AWS</w:t>
            </w:r>
          </w:p>
        </w:tc>
        <w:tc>
          <w:tcPr>
            <w:tcW w:type="dxa" w:w="1728"/>
          </w:tcPr>
          <w:p>
            <w:r/>
            <w:r>
              <w:t>"Despliega la infraestructura con CDK en el Learner Lab: VPC por defecto, 2× RDS PostgreSQL cifradas, EC2 con la API, y el Glue Data Catalog con los 2 crawlers."</w:t>
            </w:r>
          </w:p>
        </w:tc>
        <w:tc>
          <w:tcPr>
            <w:tcW w:type="dxa" w:w="1728"/>
          </w:tcPr>
          <w:p>
            <w:r/>
            <w:r>
              <w:t>Stack CDK en TypeScript y script de despliegue.</w:t>
            </w:r>
          </w:p>
        </w:tc>
        <w:tc>
          <w:tcPr>
            <w:tcW w:type="dxa" w:w="1728"/>
          </w:tcPr>
          <w:p>
            <w:r/>
            <w:r>
              <w:t xml:space="preserve">El equipo resolvió las restricciones del Lab: sin </w:t>
            </w:r>
            <w:r>
              <w:rPr>
                <w:rFonts w:ascii="Consolas" w:hAnsi="Consolas"/>
                <w:color w:val="C03030"/>
                <w:sz w:val="19"/>
              </w:rPr>
              <w:t>cdk bootstrap</w:t>
            </w:r>
            <w:r>
              <w:t xml:space="preserve"> (el Lab no deja crear roles IAM) → </w:t>
            </w:r>
            <w:r>
              <w:rPr>
                <w:rFonts w:ascii="Consolas" w:hAnsi="Consolas"/>
                <w:color w:val="C03030"/>
                <w:sz w:val="19"/>
              </w:rPr>
              <w:t>cdk synth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aws cloudformation deploy</w:t>
            </w:r>
            <w:r>
              <w:t xml:space="preserve">; usar </w:t>
            </w:r>
            <w:r>
              <w:rPr>
                <w:rFonts w:ascii="Consolas" w:hAnsi="Consolas"/>
                <w:color w:val="C03030"/>
                <w:sz w:val="19"/>
              </w:rPr>
              <w:t>LabRole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LabInstanceProfile</w:t>
            </w:r>
            <w:r>
              <w:t xml:space="preserve">; PostgreSQL 16 (no 16.4, no disponible); el SG de Glue debe abrir todos los puertos internamente. Corrigió el provisioning (cargaba el </w:t>
            </w:r>
            <w:r>
              <w:rPr>
                <w:rFonts w:ascii="Consolas" w:hAnsi="Consolas"/>
                <w:color w:val="C03030"/>
                <w:sz w:val="19"/>
              </w:rPr>
              <w:t>.env</w:t>
            </w:r>
            <w:r>
              <w:t xml:space="preserve"> tarde; corría un </w:t>
            </w:r>
            <w:r>
              <w:rPr>
                <w:rFonts w:ascii="Consolas" w:hAnsi="Consolas"/>
                <w:color w:val="C03030"/>
                <w:sz w:val="19"/>
              </w:rPr>
              <w:t>pytest</w:t>
            </w:r>
            <w:r>
              <w:t xml:space="preserve"> que borraba el esquema).</w:t>
            </w:r>
          </w:p>
        </w:tc>
      </w:tr>
      <w:tr>
        <w:tc>
          <w:tcPr>
            <w:tcW w:type="dxa" w:w="1728"/>
          </w:tcPr>
          <w:p>
            <w:r/>
            <w:r>
              <w:t>P11</w:t>
            </w:r>
          </w:p>
        </w:tc>
        <w:tc>
          <w:tcPr>
            <w:tcW w:type="dxa" w:w="1728"/>
          </w:tcPr>
          <w:p>
            <w:r/>
            <w:r>
              <w:t>Frontend 5.5</w:t>
            </w:r>
          </w:p>
        </w:tc>
        <w:tc>
          <w:tcPr>
            <w:tcW w:type="dxa" w:w="1728"/>
          </w:tcPr>
          <w:p>
            <w:r/>
            <w:r>
              <w:t>"Ya que la arquitectura del frontend está diseñada, impleméntala: SPA React con las pantallas búsqueda → selección → confirmación → código y consultar reserva. Debe manejar el 409 y tener los textos externalizados."</w:t>
            </w:r>
          </w:p>
        </w:tc>
        <w:tc>
          <w:tcPr>
            <w:tcW w:type="dxa" w:w="1728"/>
          </w:tcPr>
          <w:p>
            <w:r/>
            <w:r>
              <w:t>Código de la SPA (React + Vite + router) y CORS en el backend.</w:t>
            </w:r>
          </w:p>
        </w:tc>
        <w:tc>
          <w:tcPr>
            <w:tcW w:type="dxa" w:w="1728"/>
          </w:tcPr>
          <w:p>
            <w:r/>
            <w:r>
              <w:t xml:space="preserve">El equipo decidió no hacer pantallas de pago/cancelación porque el backend del MVP no expone esos endpoints (coherente con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D6). Ajustes en </w:t>
            </w:r>
            <w:r>
              <w:rPr>
                <w:rFonts w:ascii="Consolas" w:hAnsi="Consolas"/>
                <w:color w:val="C03030"/>
                <w:sz w:val="19"/>
              </w:rPr>
              <w:t>docs/05</w:t>
            </w:r>
            <w:r>
              <w:t xml:space="preserve"> §5.5.6.</w:t>
            </w:r>
          </w:p>
        </w:tc>
      </w:tr>
      <w:tr>
        <w:tc>
          <w:tcPr>
            <w:tcW w:type="dxa" w:w="1728"/>
          </w:tcPr>
          <w:p>
            <w:r/>
            <w:r>
              <w:t>P12</w:t>
            </w:r>
          </w:p>
        </w:tc>
        <w:tc>
          <w:tcPr>
            <w:tcW w:type="dxa" w:w="1728"/>
          </w:tcPr>
          <w:p>
            <w:r/>
            <w:r>
              <w:t>Documento de entrega</w:t>
            </w:r>
          </w:p>
        </w:tc>
        <w:tc>
          <w:tcPr>
            <w:tcW w:type="dxa" w:w="1728"/>
          </w:tcPr>
          <w:p>
            <w:r/>
            <w:r>
              <w:t>"Compila los documentos 00–07 + el prompt log en un solo Word para entregar, con espacios marcados para pegar los diagramas y las capturas de AWS a mano."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tools/compilar_entrega.py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docs/PARCIAL1-ENTREGA.docx</w:t>
            </w:r>
            <w:r>
              <w:t>. Verificó que los 18 FR y 9 NFR estén citados en 03–07.</w:t>
            </w:r>
          </w:p>
        </w:tc>
        <w:tc>
          <w:tcPr>
            <w:tcW w:type="dxa" w:w="1728"/>
          </w:tcPr>
          <w:p>
            <w:r/>
            <w:r>
              <w:t>El equipo pega los diagramas, el enlace al repo y las capturas de consola.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