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jpg" ContentType="image/jpeg"/>
  <Override PartName="/word/media/rId55.png" ContentType="image/png"/>
  <Override PartName="/word/media/rId53.png" ContentType="image/png"/>
  <Override PartName="/word/media/rId48.png" ContentType="image/png"/>
  <Override PartName="/word/media/rId49.png" ContentType="image/png"/>
  <Override PartName="/word/media/rId50.png" ContentType="image/png"/>
  <Override PartName="/word/media/rId51.png" ContentType="image/png"/>
  <Override PartName="/word/media/rId44.jpg" ContentType="image/jpeg"/>
  <Override PartName="/word/media/rId23.jpg" ContentType="image/jpeg"/>
  <Override PartName="/word/media/rId43.jpg" ContentType="image/jpeg"/>
  <Override PartName="/word/media/rId110.jpg" ContentType="image/jpeg"/>
  <Override PartName="/word/media/rId102.jpg" ContentType="image/jpeg"/>
  <Override PartName="/word/media/rId104.jpg" ContentType="image/jpeg"/>
  <Override PartName="/word/media/rId108.png" ContentType="image/png"/>
  <Override PartName="/word/media/rId78.png" ContentType="image/png"/>
  <Override PartName="/word/media/rId60.jpg" ContentType="image/jpeg"/>
  <Override PartName="/word/media/rId92.jpg" ContentType="image/jpeg"/>
  <Override PartName="/word/media/rId96.jpg" ContentType="image/jpeg"/>
  <Override PartName="/word/media/rId98.jpg" ContentType="image/jpeg"/>
  <Override PartName="/word/media/rId28.png" ContentType="image/png"/>
  <Override PartName="/word/media/rId94.jpg" ContentType="image/jpeg"/>
  <Override PartName="/word/media/rId106.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2019-06-06</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2"/>
      </w:pPr>
      <w:bookmarkStart w:id="21" w:name="author-statement-on-activity-origins"/>
      <w:r>
        <w:t xml:space="preserve">Author Statement on Activity Origins</w:t>
      </w:r>
      <w:bookmarkEnd w:id="21"/>
    </w:p>
    <w:p>
      <w:pPr>
        <w:pStyle w:val="BlockText"/>
      </w:pPr>
      <w:r>
        <w:t xml:space="preserve">To tell the story of how this lesson came into existence, I need to mention that it was built from prior working relationships and my interests in music and data visualization. My background is in science, interactive computer graphics, 3D media, video, and K-12 STEAM outreach. I met some interesting people in my career and this lesson brings some of that experience and exposure together in what I hope is an interesting, fun way.</w:t>
      </w:r>
    </w:p>
    <w:p>
      <w:pPr>
        <w:pStyle w:val="BlockText"/>
      </w:pPr>
      <w:r>
        <w:t xml:space="preserve">This activity began as an idea around the theme of air and is based in part on a past professional collaboration I had with a local musician and contemporary flamenco band. I worked in a role combining teacher professional development and creative curriculum development which included some work on documentary-style videos. Through that experience I became familiar with the music of this local band and specifically the use of the didgeridoo by one of the band members. The sound was really interesting to me and I knew something of the relationship of didgeridoo morphology and sound quality from a video I produced with this band member. That’s one inspiration: didgeridoo music! We later decided to add in the paixiao, a type of pan flute, to help boost engagement and regional connections. The paixiao is also a relatively simple instrument that can be constructed from PVC and inexpensive materials. Together we thought these could yield some very interesting sounds!</w:t>
      </w:r>
    </w:p>
    <w:p>
      <w:pPr>
        <w:pStyle w:val="BlockText"/>
      </w:pPr>
      <w:r>
        <w:t xml:space="preserve">What I wanted from this activity was hands-on construction, incorporation of data or data visualization, and musical performance. I knew that the didgeridoo was a relatively simple instrument (basically a tube) and that it could be easily and inexpensively constructed from PVC. I also knew that NASA produced high-quality climate data and worked to make this information available to the public. I thought perhaps students could look at the data or even just the visualizations of data to get some ideas about trends in climate. Perhaps they could study carbon dioxide or temperature levels. That’s a second inspiration: climate data visualization. This is something that could help students with scientific literacy but also to see themselves in the world by examining large, important trends.</w:t>
      </w:r>
    </w:p>
    <w:p>
      <w:pPr>
        <w:pStyle w:val="BlockText"/>
      </w:pPr>
      <w:r>
        <w:t xml:space="preserve">A third inspiration for this lesson was the concept of data sonification. A former colleague and friend is a geologist and musician who is interested in transforming data into sound. This concept is similar to visualization, but for hearing instead of seeing. I thought maybe the students could take what they know about climate data and make a song or something similar from that knowledge.</w:t>
      </w:r>
    </w:p>
    <w:p>
      <w:pPr>
        <w:pStyle w:val="BlockText"/>
      </w:pPr>
      <w:r>
        <w:t xml:space="preserve">After meeting with a small group to</w:t>
      </w:r>
      <w:r>
        <w:t xml:space="preserve"> </w:t>
      </w:r>
      <w:r>
        <w:t xml:space="preserve">“</w:t>
      </w:r>
      <w:r>
        <w:t xml:space="preserve">play-test</w:t>
      </w:r>
      <w:r>
        <w:t xml:space="preserve">”</w:t>
      </w:r>
      <w:r>
        <w:t xml:space="preserve"> </w:t>
      </w:r>
      <w:r>
        <w:t xml:space="preserve">the activity, we decided it was important to have the student build some kind of simple notation system for their instruments. There would be no pressure to make it</w:t>
      </w:r>
      <w:r>
        <w:t xml:space="preserve"> </w:t>
      </w:r>
      <w:r>
        <w:t xml:space="preserve">“</w:t>
      </w:r>
      <w:r>
        <w:t xml:space="preserve">right</w:t>
      </w:r>
      <w:r>
        <w:t xml:space="preserve">”</w:t>
      </w:r>
      <w:r>
        <w:t xml:space="preserve"> </w:t>
      </w:r>
      <w:r>
        <w:t xml:space="preserve">but rather to have students be creative and write something that makes sense for their team and perhaps others to read and use to play a song. This is a good addition because it focuses a bit on literacy, logic, and music at the same time.</w:t>
      </w:r>
    </w:p>
    <w:p>
      <w:pPr>
        <w:pStyle w:val="BlockText"/>
      </w:pPr>
      <w:r>
        <w:t xml:space="preserve">The big concept for me is Data-&gt;Inspiration-&gt;Construction-&gt;Notation-&gt;Performance. I am hopeful students will look at their world in a fresh way, become inspired to tell a story through music, and then bring this concept to life through the use of their own hands and minds. If all goes well, the audience will learn something about climate and the students will learn something about themselves.</w:t>
      </w:r>
    </w:p>
    <w:p>
      <w:pPr>
        <w:pStyle w:val="BlockText"/>
      </w:pPr>
      <w:r>
        <w:t xml:space="preserve">Adam Santone, PhD</w:t>
      </w:r>
    </w:p>
    <w:p>
      <w:pPr>
        <w:pStyle w:val="Heading1"/>
      </w:pPr>
      <w:bookmarkStart w:id="22" w:name="learning-goals-and-success"/>
      <w:r>
        <w:t xml:space="preserve">Learning Goals and Success</w:t>
      </w:r>
      <w:bookmarkEnd w:id="22"/>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Design a custom notation system for performance using the PVC instruments</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of a notation system that can be used to perform a musical piece</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3"/>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4">
        <w:r>
          <w:rPr>
            <w:rStyle w:val="Hyperlink"/>
          </w:rPr>
          <w:t xml:space="preserve">DidgeridooBreath.com</w:t>
        </w:r>
      </w:hyperlink>
    </w:p>
    <w:p>
      <w:pPr>
        <w:pStyle w:val="Heading1"/>
      </w:pPr>
      <w:bookmarkStart w:id="25" w:name="climate-data"/>
      <w:r>
        <w:t xml:space="preserve">Climate Data</w:t>
      </w:r>
      <w:bookmarkEnd w:id="25"/>
    </w:p>
    <w:p>
      <w:pPr>
        <w:pStyle w:val="Heading2"/>
      </w:pPr>
      <w:bookmarkStart w:id="26" w:name="overview"/>
      <w:r>
        <w:t xml:space="preserve">Overview</w:t>
      </w:r>
      <w:bookmarkEnd w:id="26"/>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7" w:name="data-perceptualization"/>
      <w:r>
        <w:t xml:space="preserve">Data Perceptualization</w:t>
      </w:r>
      <w:bookmarkEnd w:id="27"/>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28"/>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29">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Heading2"/>
      </w:pPr>
      <w:bookmarkStart w:id="30" w:name="additional-resources"/>
      <w:r>
        <w:t xml:space="preserve">Additional resources</w:t>
      </w:r>
      <w:bookmarkEnd w:id="30"/>
    </w:p>
    <w:p>
      <w:pPr>
        <w:pStyle w:val="FirstParagraph"/>
      </w:pPr>
      <w:r>
        <w:t xml:space="preserve">Please see the</w:t>
      </w:r>
      <w:r>
        <w:t xml:space="preserve"> </w:t>
      </w:r>
      <w:r>
        <w:t xml:space="preserve">“</w:t>
      </w:r>
      <w:r>
        <w:t xml:space="preserve">Data Presentation</w:t>
      </w:r>
      <w:r>
        <w:t xml:space="preserve">”</w:t>
      </w:r>
      <w:r>
        <w:t xml:space="preserve"> </w:t>
      </w:r>
      <w:r>
        <w:t xml:space="preserve">in</w:t>
      </w:r>
      <w:r>
        <w:t xml:space="preserve"> </w:t>
      </w:r>
      <w:hyperlink w:anchor="supplemental-documents">
        <w:r>
          <w:rPr>
            <w:rStyle w:val="Hyperlink"/>
          </w:rPr>
          <w:t xml:space="preserve">Supplemental Documents</w:t>
        </w:r>
      </w:hyperlink>
      <w:r>
        <w:t xml:space="preserve"> </w:t>
      </w:r>
      <w:r>
        <w:t xml:space="preserve">for some useful material that may help you get started.</w:t>
      </w:r>
    </w:p>
    <w:p>
      <w:pPr>
        <w:pStyle w:val="BodyText"/>
      </w:pPr>
      <w:r>
        <w:t xml:space="preserve">In addition, the following links may be helpful for further exploration of climate data:</w:t>
      </w:r>
    </w:p>
    <w:p>
      <w:pPr>
        <w:pStyle w:val="Compact"/>
        <w:numPr>
          <w:numId w:val="1003"/>
          <w:ilvl w:val="0"/>
        </w:numPr>
      </w:pPr>
      <w:hyperlink r:id="rId31">
        <w:r>
          <w:rPr>
            <w:rStyle w:val="Hyperlink"/>
          </w:rPr>
          <w:t xml:space="preserve">NASA Prediction of Worldwide Energy Resources</w:t>
        </w:r>
      </w:hyperlink>
    </w:p>
    <w:p>
      <w:pPr>
        <w:pStyle w:val="Compact"/>
        <w:numPr>
          <w:numId w:val="1003"/>
          <w:ilvl w:val="0"/>
        </w:numPr>
      </w:pPr>
      <w:hyperlink r:id="rId32">
        <w:r>
          <w:rPr>
            <w:rStyle w:val="Hyperlink"/>
          </w:rPr>
          <w:t xml:space="preserve">NASA Global Climate Change</w:t>
        </w:r>
      </w:hyperlink>
    </w:p>
    <w:p>
      <w:pPr>
        <w:pStyle w:val="Compact"/>
        <w:numPr>
          <w:numId w:val="1003"/>
          <w:ilvl w:val="0"/>
        </w:numPr>
      </w:pPr>
      <w:hyperlink r:id="rId33">
        <w:r>
          <w:rPr>
            <w:rStyle w:val="Hyperlink"/>
          </w:rPr>
          <w:t xml:space="preserve">NOAA Climate Data Online</w:t>
        </w:r>
      </w:hyperlink>
    </w:p>
    <w:p>
      <w:pPr>
        <w:pStyle w:val="Compact"/>
        <w:numPr>
          <w:numId w:val="1003"/>
          <w:ilvl w:val="0"/>
        </w:numPr>
      </w:pPr>
      <w:hyperlink r:id="rId34">
        <w:r>
          <w:rPr>
            <w:rStyle w:val="Hyperlink"/>
          </w:rPr>
          <w:t xml:space="preserve">NASA Feature: Wind, Warm Water Revved Up Melting Antarctic Glaciers</w:t>
        </w:r>
      </w:hyperlink>
    </w:p>
    <w:p>
      <w:pPr>
        <w:pStyle w:val="Compact"/>
        <w:numPr>
          <w:numId w:val="1003"/>
          <w:ilvl w:val="0"/>
        </w:numPr>
      </w:pPr>
      <w:hyperlink r:id="rId35">
        <w:r>
          <w:rPr>
            <w:rStyle w:val="Hyperlink"/>
          </w:rPr>
          <w:t xml:space="preserve">NASA Feature: A World on Fire</w:t>
        </w:r>
      </w:hyperlink>
    </w:p>
    <w:p>
      <w:pPr>
        <w:pStyle w:val="Compact"/>
        <w:numPr>
          <w:numId w:val="1003"/>
          <w:ilvl w:val="0"/>
        </w:numPr>
      </w:pPr>
      <w:hyperlink r:id="rId36">
        <w:r>
          <w:rPr>
            <w:rStyle w:val="Hyperlink"/>
          </w:rPr>
          <w:t xml:space="preserve">NASA News: Airborne mission to focus on polar winds. Monroe Conner.</w:t>
        </w:r>
      </w:hyperlink>
    </w:p>
    <w:p>
      <w:pPr>
        <w:pStyle w:val="Heading1"/>
      </w:pPr>
      <w:bookmarkStart w:id="37" w:name="didgeridoo"/>
      <w:r>
        <w:t xml:space="preserve">Didgeridoo</w:t>
      </w:r>
      <w:bookmarkEnd w:id="37"/>
    </w:p>
    <w:p>
      <w:pPr>
        <w:pStyle w:val="Heading2"/>
      </w:pPr>
      <w:bookmarkStart w:id="38" w:name="overview-1"/>
      <w:r>
        <w:t xml:space="preserve">Overview</w:t>
      </w:r>
      <w:bookmarkEnd w:id="38"/>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9" w:name="history-and-significance"/>
      <w:r>
        <w:t xml:space="preserve">History and Significance</w:t>
      </w:r>
      <w:bookmarkEnd w:id="39"/>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40">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3: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41"/>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2" w:name="anatomy"/>
      <w:r>
        <w:t xml:space="preserve">Anatomy</w:t>
      </w:r>
      <w:bookmarkEnd w:id="42"/>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4: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4">
        <w:r>
          <w:rPr>
            <w:rStyle w:val="Hyperlink"/>
          </w:rPr>
          <w:t xml:space="preserve">DidgeridooBreath.com</w:t>
        </w:r>
      </w:hyperlink>
    </w:p>
    <w:p>
      <w:pPr>
        <w:pStyle w:val="CaptionedFigure"/>
      </w:pPr>
      <w:r>
        <w:drawing>
          <wp:inline>
            <wp:extent cx="5334000" cy="5334000"/>
            <wp:effectExtent b="0" l="0" r="0" t="0"/>
            <wp:docPr descr="Figure 5: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4">
        <w:r>
          <w:rPr>
            <w:rStyle w:val="Hyperlink"/>
          </w:rPr>
          <w:t xml:space="preserve">DidgeridooBreath.com</w:t>
        </w:r>
      </w:hyperlink>
    </w:p>
    <w:p>
      <w:pPr>
        <w:pStyle w:val="Heading2"/>
      </w:pPr>
      <w:bookmarkStart w:id="45" w:name="science"/>
      <w:r>
        <w:t xml:space="preserve">Science</w:t>
      </w:r>
      <w:bookmarkEnd w:id="45"/>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6">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7" w:name="construction"/>
      <w:r>
        <w:t xml:space="preserve">Construction</w:t>
      </w:r>
      <w:bookmarkEnd w:id="47"/>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6: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48"/>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49"/>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50"/>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51"/>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2" w:name="standard-form"/>
      <w:r>
        <w:t xml:space="preserve">Standard Form</w:t>
      </w:r>
      <w:bookmarkEnd w:id="52"/>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10: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53"/>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4" w:name="alternative-forms"/>
      <w:r>
        <w:t xml:space="preserve">Alternative Forms</w:t>
      </w:r>
      <w:bookmarkEnd w:id="54"/>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1: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55"/>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6" w:name="tuning"/>
      <w:r>
        <w:t xml:space="preserve">Tuning</w:t>
      </w:r>
      <w:bookmarkEnd w:id="56"/>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7" w:name="mouthpiece"/>
      <w:r>
        <w:t xml:space="preserve">Mouthpiece</w:t>
      </w:r>
      <w:bookmarkEnd w:id="57"/>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8">
        <w:r>
          <w:rPr>
            <w:rStyle w:val="Hyperlink"/>
          </w:rPr>
          <w:t xml:space="preserve">How to add a Didgeridoo Beeswax Mouthpiece.</w:t>
        </w:r>
      </w:hyperlink>
    </w:p>
    <w:p>
      <w:pPr>
        <w:pStyle w:val="Heading2"/>
      </w:pPr>
      <w:bookmarkStart w:id="59" w:name="decoration"/>
      <w:r>
        <w:t xml:space="preserve">Decoration</w:t>
      </w:r>
      <w:bookmarkEnd w:id="59"/>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CaptionedFigure"/>
      </w:pPr>
      <w:r>
        <w:drawing>
          <wp:inline>
            <wp:extent cx="5334000" cy="4000500"/>
            <wp:effectExtent b="0" l="0" r="0" t="0"/>
            <wp:docPr descr="Figure 12: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1" w:name="play"/>
      <w:r>
        <w:t xml:space="preserve">Play</w:t>
      </w:r>
      <w:bookmarkEnd w:id="61"/>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2">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3">
        <w:r>
          <w:rPr>
            <w:rStyle w:val="Hyperlink"/>
          </w:rPr>
          <w:t xml:space="preserve">DidgeridooBreath</w:t>
        </w:r>
      </w:hyperlink>
      <w:r>
        <w:t xml:space="preserve">.</w:t>
      </w:r>
    </w:p>
    <w:p>
      <w:pPr>
        <w:pStyle w:val="BodyText"/>
      </w:pPr>
      <w:r>
        <w:t xml:space="preserve">Here’s</w:t>
      </w:r>
      <w:r>
        <w:t xml:space="preserve"> </w:t>
      </w:r>
      <w:hyperlink r:id="rId64">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5">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6">
        <w:r>
          <w:rPr>
            <w:rStyle w:val="Hyperlink"/>
          </w:rPr>
          <w:t xml:space="preserve">Dariya</w:t>
        </w:r>
      </w:hyperlink>
      <w:r>
        <w:t xml:space="preserve">”</w:t>
      </w:r>
      <w:r>
        <w:t xml:space="preserve"> </w:t>
      </w:r>
      <w:r>
        <w:t xml:space="preserve">performed here as a Tiny Desk Concert entry by</w:t>
      </w:r>
      <w:r>
        <w:t xml:space="preserve"> </w:t>
      </w:r>
      <w:hyperlink r:id="rId67">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8" w:name="advanced-play-circular-breathing"/>
      <w:r>
        <w:t xml:space="preserve">Advanced Play: Circular Breathing</w:t>
      </w:r>
      <w:bookmarkEnd w:id="68"/>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9">
        <w:r>
          <w:rPr>
            <w:rStyle w:val="Hyperlink"/>
          </w:rPr>
          <w:t xml:space="preserve">Didgeridoo Circular Breathing: Introduction (Lesson 1 of 8)</w:t>
        </w:r>
      </w:hyperlink>
    </w:p>
    <w:p>
      <w:pPr>
        <w:pStyle w:val="Heading1"/>
      </w:pPr>
      <w:bookmarkStart w:id="70" w:name="paixiao"/>
      <w:r>
        <w:t xml:space="preserve">Paixiao</w:t>
      </w:r>
      <w:bookmarkEnd w:id="70"/>
    </w:p>
    <w:p>
      <w:pPr>
        <w:pStyle w:val="Heading2"/>
      </w:pPr>
      <w:bookmarkStart w:id="71" w:name="overview-2"/>
      <w:r>
        <w:t xml:space="preserve">Overview</w:t>
      </w:r>
      <w:bookmarkEnd w:id="71"/>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paixiao, a wind instrument native to the region around Hong Kong, and presents instruction for construction of a DIY version that can be created inexpensively and with a high degree of customization.</w:t>
      </w:r>
    </w:p>
    <w:p>
      <w:pPr>
        <w:pStyle w:val="Heading2"/>
      </w:pPr>
      <w:bookmarkStart w:id="72" w:name="history-and-significance-1"/>
      <w:r>
        <w:t xml:space="preserve">History and Significance</w:t>
      </w:r>
      <w:bookmarkEnd w:id="72"/>
    </w:p>
    <w:p>
      <w:pPr>
        <w:pStyle w:val="FirstParagraph"/>
      </w:pPr>
      <w:r>
        <w:t xml:space="preserve">The paixiao is a traditional wind instrument from China. This type of pan flute was traditionally constructed from bamboo, a common grass from that region. The earliest complete paixiao, an important instrument used in entertainment, military, and orchestra venues, was dated to around 522BC.</w:t>
      </w:r>
      <w:r>
        <w:t xml:space="preserve"> </w:t>
      </w:r>
      <w:r>
        <w:t xml:space="preserve">(Britannica</w:t>
      </w:r>
      <w:r>
        <w:t xml:space="preserve"> </w:t>
      </w:r>
      <w:hyperlink w:anchor="ref-paixiaoHistory">
        <w:r>
          <w:rPr>
            <w:rStyle w:val="Hyperlink"/>
          </w:rPr>
          <w:t xml:space="preserve">2019</w:t>
        </w:r>
      </w:hyperlink>
      <w:r>
        <w:t xml:space="preserve">)</w:t>
      </w:r>
    </w:p>
    <w:p>
      <w:pPr>
        <w:pStyle w:val="Heading2"/>
      </w:pPr>
      <w:bookmarkStart w:id="73" w:name="anatomy-1"/>
      <w:r>
        <w:t xml:space="preserve">Anatomy</w:t>
      </w:r>
      <w:bookmarkEnd w:id="73"/>
    </w:p>
    <w:p>
      <w:pPr>
        <w:pStyle w:val="FirstParagraph"/>
      </w:pPr>
      <w:r>
        <w:t xml:space="preserve">The flute is constructed from a series of (traditionally) bamboo pipes, or short hollow segements of a rigid material. Bamboo, a type of grass, has large, hollow, rigid segments that are ideal for this type of instrument. The pipes may be joined in several ways, including twine or other natural fibers. For this activity, we are substituting bamboo for PVC pipes and natural fibers for common adhesives.</w:t>
      </w:r>
    </w:p>
    <w:p>
      <w:pPr>
        <w:pStyle w:val="Heading2"/>
      </w:pPr>
      <w:bookmarkStart w:id="74" w:name="science-1"/>
      <w:r>
        <w:t xml:space="preserve">Science</w:t>
      </w:r>
      <w:bookmarkEnd w:id="74"/>
    </w:p>
    <w:p>
      <w:pPr>
        <w:pStyle w:val="FirstParagraph"/>
      </w:pPr>
      <w:r>
        <w:t xml:space="preserve">The science of any musical instrument is complicated and a truly good explanation requires the understanding of many distinct concepts. Very briefly, the paixiao functions properly when air is passed over the open end of a pipe. The air passes down into the pipe and, if everything is correct, the pipe produces a clear note with a frequency closely correlated with the length of the pipe. For more information on panflutes, visit</w:t>
      </w:r>
      <w:r>
        <w:t xml:space="preserve"> </w:t>
      </w:r>
      <w:hyperlink r:id="rId75">
        <w:r>
          <w:rPr>
            <w:rStyle w:val="Hyperlink"/>
          </w:rPr>
          <w:t xml:space="preserve">Sarah Tulga</w:t>
        </w:r>
      </w:hyperlink>
      <w:r>
        <w:t xml:space="preserve">.</w:t>
      </w:r>
      <w:r>
        <w:t xml:space="preserve"> </w:t>
      </w:r>
      <w:hyperlink r:id="rId76">
        <w:r>
          <w:rPr>
            <w:rStyle w:val="Hyperlink"/>
          </w:rPr>
          <w:t xml:space="preserve">Mark Shepard</w:t>
        </w:r>
      </w:hyperlink>
      <w:r>
        <w:t xml:space="preserve"> </w:t>
      </w:r>
      <w:r>
        <w:t xml:space="preserve">also has some information on the science of flutes.</w:t>
      </w:r>
    </w:p>
    <w:p>
      <w:pPr>
        <w:pStyle w:val="Heading2"/>
      </w:pPr>
      <w:bookmarkStart w:id="77" w:name="construction-1"/>
      <w:r>
        <w:t xml:space="preserve">Construction</w:t>
      </w:r>
      <w:bookmarkEnd w:id="77"/>
    </w:p>
    <w:p>
      <w:pPr>
        <w:pStyle w:val="FirstParagraph"/>
      </w:pPr>
      <w:r>
        <w:t xml:space="preserve">The paixiao will be constructed from three to five PVC components seen in Figure</w:t>
      </w:r>
      <w:r>
        <w:t xml:space="preserve"> </w:t>
      </w:r>
      <w:r>
        <w:t xml:space="preserve">13</w:t>
      </w:r>
      <w:r>
        <w:t xml:space="preserve">. The length (L) of each pipe (A) is variable and determines the frequency of the emitted note. Each pipe is sealed with a small amount of hot glue (B) and a small coin (C). A small bead of hot glue (B) should be applied along the length of the joint between each pipe. The top of each pipe should be sanded smooth for comfort and level at the time of assembly. In other words, the mouthpiece of each pipe should be level with each of the neighboring pipes.</w:t>
      </w:r>
    </w:p>
    <w:p>
      <w:pPr>
        <w:pStyle w:val="CaptionedFigure"/>
      </w:pPr>
      <w:r>
        <w:drawing>
          <wp:inline>
            <wp:extent cx="3976719" cy="5866888"/>
            <wp:effectExtent b="0" l="0" r="0" t="0"/>
            <wp:docPr descr="Figure 13: PVC paixiao construction" title="" id="1" name="Picture"/>
            <a:graphic>
              <a:graphicData uri="http://schemas.openxmlformats.org/drawingml/2006/picture">
                <pic:pic>
                  <pic:nvPicPr>
                    <pic:cNvPr descr="img/paixiaoPVC_hotGlue.png" id="0" name="Picture"/>
                    <pic:cNvPicPr>
                      <a:picLocks noChangeArrowheads="1" noChangeAspect="1"/>
                    </pic:cNvPicPr>
                  </pic:nvPicPr>
                  <pic:blipFill>
                    <a:blip r:embed="rId78"/>
                    <a:stretch>
                      <a:fillRect/>
                    </a:stretch>
                  </pic:blipFill>
                  <pic:spPr bwMode="auto">
                    <a:xfrm>
                      <a:off x="0" y="0"/>
                      <a:ext cx="3976719" cy="5866888"/>
                    </a:xfrm>
                    <a:prstGeom prst="rect">
                      <a:avLst/>
                    </a:prstGeom>
                    <a:noFill/>
                    <a:ln w="9525">
                      <a:noFill/>
                      <a:headEnd/>
                      <a:tailEnd/>
                    </a:ln>
                  </pic:spPr>
                </pic:pic>
              </a:graphicData>
            </a:graphic>
          </wp:inline>
        </w:drawing>
      </w:r>
    </w:p>
    <w:p>
      <w:pPr>
        <w:pStyle w:val="ImageCaption"/>
      </w:pPr>
      <w:r>
        <w:t xml:space="preserve">Figure 13: PVC paixiao construction</w:t>
      </w:r>
    </w:p>
    <w:p>
      <w:pPr>
        <w:pStyle w:val="BodyText"/>
      </w:pPr>
      <w:r>
        <w:t xml:space="preserve">Assembly steps:</w:t>
      </w:r>
    </w:p>
    <w:p>
      <w:pPr>
        <w:numPr>
          <w:numId w:val="1004"/>
          <w:ilvl w:val="0"/>
        </w:numPr>
      </w:pPr>
      <w:r>
        <w:t xml:space="preserve">Cut PVC pipes to the desired length.</w:t>
      </w:r>
    </w:p>
    <w:p>
      <w:pPr>
        <w:numPr>
          <w:numId w:val="1004"/>
          <w:ilvl w:val="0"/>
        </w:numPr>
      </w:pPr>
      <w:r>
        <w:t xml:space="preserve">Sand each pipe smooth on each end to remove excess plastic and improve comfort when playing.</w:t>
      </w:r>
    </w:p>
    <w:p>
      <w:pPr>
        <w:numPr>
          <w:numId w:val="1004"/>
          <w:ilvl w:val="0"/>
        </w:numPr>
      </w:pPr>
      <w:r>
        <w:t xml:space="preserve">For each pipe, use a hot glue gun to apply a thin bead of glue around one end and attach a small coin to seal the pipe end.</w:t>
      </w:r>
    </w:p>
    <w:p>
      <w:pPr>
        <w:numPr>
          <w:numId w:val="1004"/>
          <w:ilvl w:val="0"/>
        </w:numPr>
      </w:pPr>
      <w:r>
        <w:t xml:space="preserve">Lay all pipes down and align the mouthpiece ends.</w:t>
      </w:r>
    </w:p>
    <w:p>
      <w:pPr>
        <w:numPr>
          <w:numId w:val="1004"/>
          <w:ilvl w:val="0"/>
        </w:numPr>
      </w:pPr>
      <w:r>
        <w:t xml:space="preserve">Apply a small bead of hot glue along the areas between each pipe.</w:t>
      </w:r>
    </w:p>
    <w:p>
      <w:pPr>
        <w:numPr>
          <w:numId w:val="1004"/>
          <w:ilvl w:val="0"/>
        </w:numPr>
      </w:pPr>
      <w:r>
        <w:t xml:space="preserve">Hold the pipes together briefly until the hot glue solidifies.</w:t>
      </w:r>
    </w:p>
    <w:p>
      <w:pPr>
        <w:numPr>
          <w:numId w:val="1004"/>
          <w:ilvl w:val="0"/>
        </w:numPr>
      </w:pPr>
      <w:r>
        <w:t xml:space="preserve">Decorate your paixiao if desired.</w:t>
      </w:r>
    </w:p>
    <w:p>
      <w:pPr>
        <w:pStyle w:val="FirstParagraph"/>
      </w:pPr>
      <w:r>
        <w:t xml:space="preserve">Your PVC paixiao should now be fully assembled. Wipe down the pipes with an alcohol pad before attempting to play!</w:t>
      </w:r>
    </w:p>
    <w:p>
      <w:pPr>
        <w:pStyle w:val="Heading2"/>
      </w:pPr>
      <w:bookmarkStart w:id="79" w:name="tuning-1"/>
      <w:r>
        <w:t xml:space="preserve">Tuning</w:t>
      </w:r>
      <w:bookmarkEnd w:id="79"/>
    </w:p>
    <w:p>
      <w:pPr>
        <w:pStyle w:val="FirstParagraph"/>
      </w:pPr>
      <w:r>
        <w:t xml:space="preserve">As with the PVC didgeridoo, pipe length determines the frequency of the note. Some recommended pipe lengths and associated notes are provided to get you started, but feel free to experiment and create your own custom tuning! These tuning suggestions are from</w:t>
      </w:r>
      <w:r>
        <w:t xml:space="preserve"> </w:t>
      </w:r>
      <w:hyperlink r:id="rId80">
        <w:r>
          <w:rPr>
            <w:rStyle w:val="Hyperlink"/>
          </w:rPr>
          <w:t xml:space="preserve">Phil Tulga</w:t>
        </w:r>
      </w:hyperlink>
      <w:r>
        <w:t xml:space="preserve">.</w:t>
      </w:r>
    </w:p>
    <w:p>
      <w:pPr>
        <w:pStyle w:val="TableCaption"/>
      </w:pPr>
      <w:r>
        <w:t xml:space="preserve">Table 1: Musical key and estimated pipe length.</w:t>
      </w:r>
    </w:p>
    <w:tbl>
      <w:tblPr>
        <w:tblStyle w:val="Table"/>
        <w:tblW w:type="pct" w:w="0.0"/>
        <w:tblLook w:firstRow="1"/>
        <w:tblCaption w:val="Table 1: Musical key and estimated pipe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154</w:t>
            </w:r>
          </w:p>
        </w:tc>
      </w:tr>
      <w:tr>
        <w:tc>
          <w:p>
            <w:pPr>
              <w:pStyle w:val="Compact"/>
              <w:jc w:val="left"/>
            </w:pPr>
            <w:r>
              <w:t xml:space="preserve">D</w:t>
            </w:r>
          </w:p>
        </w:tc>
        <w:tc>
          <w:p>
            <w:pPr>
              <w:pStyle w:val="Compact"/>
              <w:jc w:val="right"/>
            </w:pPr>
            <w:r>
              <w:t xml:space="preserve">136</w:t>
            </w:r>
          </w:p>
        </w:tc>
      </w:tr>
      <w:tr>
        <w:tc>
          <w:p>
            <w:pPr>
              <w:pStyle w:val="Compact"/>
              <w:jc w:val="left"/>
            </w:pPr>
            <w:r>
              <w:t xml:space="preserve">E</w:t>
            </w:r>
          </w:p>
        </w:tc>
        <w:tc>
          <w:p>
            <w:pPr>
              <w:pStyle w:val="Compact"/>
              <w:jc w:val="right"/>
            </w:pPr>
            <w:r>
              <w:t xml:space="preserve">120</w:t>
            </w:r>
          </w:p>
        </w:tc>
      </w:tr>
      <w:tr>
        <w:tc>
          <w:p>
            <w:pPr>
              <w:pStyle w:val="Compact"/>
              <w:jc w:val="left"/>
            </w:pPr>
            <w:r>
              <w:t xml:space="preserve">G</w:t>
            </w:r>
          </w:p>
        </w:tc>
        <w:tc>
          <w:p>
            <w:pPr>
              <w:pStyle w:val="Compact"/>
              <w:jc w:val="right"/>
            </w:pPr>
            <w:r>
              <w:t xml:space="preserve">98</w:t>
            </w:r>
          </w:p>
        </w:tc>
      </w:tr>
      <w:tr>
        <w:tc>
          <w:p>
            <w:pPr>
              <w:pStyle w:val="Compact"/>
              <w:jc w:val="left"/>
            </w:pPr>
            <w:r>
              <w:t xml:space="preserve">A</w:t>
            </w:r>
          </w:p>
        </w:tc>
        <w:tc>
          <w:p>
            <w:pPr>
              <w:pStyle w:val="Compact"/>
              <w:jc w:val="right"/>
            </w:pPr>
            <w:r>
              <w:t xml:space="preserve">87</w:t>
            </w:r>
          </w:p>
        </w:tc>
      </w:tr>
    </w:tbl>
    <w:p>
      <w:pPr>
        <w:pStyle w:val="Heading2"/>
      </w:pPr>
      <w:bookmarkStart w:id="81" w:name="play-1"/>
      <w:r>
        <w:t xml:space="preserve">Play</w:t>
      </w:r>
      <w:bookmarkEnd w:id="81"/>
    </w:p>
    <w:p>
      <w:pPr>
        <w:pStyle w:val="FirstParagraph"/>
      </w:pPr>
      <w:r>
        <w:t xml:space="preserve">To play the paixiao, hold the flute perpendicular to the floor in front of your mouth. You will need to blow air across, and slightly down into, each pipe to achieve a clear note. Practice this method and try alternating between tight and loose lips until you find the</w:t>
      </w:r>
      <w:r>
        <w:t xml:space="preserve"> </w:t>
      </w:r>
      <w:r>
        <w:t xml:space="preserve">“</w:t>
      </w:r>
      <w:r>
        <w:t xml:space="preserve">sweet spot</w:t>
      </w:r>
      <w:r>
        <w:t xml:space="preserve">”</w:t>
      </w:r>
      <w:r>
        <w:t xml:space="preserve"> </w:t>
      </w:r>
      <w:r>
        <w:t xml:space="preserve">that results in a loud, clear sound.</w:t>
      </w:r>
    </w:p>
    <w:p>
      <w:pPr>
        <w:pStyle w:val="BodyText"/>
      </w:pPr>
      <w:r>
        <w:t xml:space="preserve">You can watch this video to pick up some paixiao performance tips:</w:t>
      </w:r>
      <w:r>
        <w:t xml:space="preserve"> </w:t>
      </w:r>
      <w:hyperlink r:id="rId82">
        <w:r>
          <w:rPr>
            <w:rStyle w:val="Hyperlink"/>
          </w:rPr>
          <w:t xml:space="preserve">Paixiao.</w:t>
        </w:r>
      </w:hyperlink>
    </w:p>
    <w:p>
      <w:pPr>
        <w:pStyle w:val="Heading1"/>
      </w:pPr>
      <w:bookmarkStart w:id="83" w:name="music"/>
      <w:r>
        <w:t xml:space="preserve">Music</w:t>
      </w:r>
      <w:bookmarkEnd w:id="83"/>
    </w:p>
    <w:p>
      <w:pPr>
        <w:pStyle w:val="Heading2"/>
      </w:pPr>
      <w:bookmarkStart w:id="84" w:name="climate-data-as-inspiration"/>
      <w:r>
        <w:t xml:space="preserve">Climate Data as Inspiration</w:t>
      </w:r>
      <w:bookmarkEnd w:id="84"/>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85" w:name="documentation"/>
      <w:r>
        <w:t xml:space="preserve">Documentation</w:t>
      </w:r>
      <w:bookmarkEnd w:id="85"/>
    </w:p>
    <w:p>
      <w:pPr>
        <w:pStyle w:val="FirstParagraph"/>
      </w:pPr>
      <w:r>
        <w:t xml:space="preserve">After studying data and constructing their instrument(s), students should begin their journey toward a musical performance by working out a system of notation for their music. As a simple example, low notes may be indicated by a minus (-) sign. High notes may be indicated by a plus (+) sign. Short notes may be indicated by a dot (.) before the sign and long notes may be indicated by a series of notes following the sign where each dot indicates additional time. That is, the notation could be written as</w:t>
      </w:r>
    </w:p>
    <w:p>
      <w:pPr>
        <w:pStyle w:val="BlockText"/>
      </w:pPr>
      <w:r>
        <w:t xml:space="preserve">.- | .- | .- | +…</w:t>
      </w:r>
    </w:p>
    <w:p>
      <w:pPr>
        <w:pStyle w:val="FirstParagraph"/>
      </w:pPr>
      <w:r>
        <w:t xml:space="preserve">to indicate three short, low notes followed by one relatively long high note. Students should create a notation system that can be followed by others so be sure they create a key indicating their system meaning and including any notes that would be useful to an outside learner trying to reproduce their musical piece.</w:t>
      </w:r>
    </w:p>
    <w:p>
      <w:pPr>
        <w:pStyle w:val="BodyText"/>
      </w:pPr>
      <w:r>
        <w:t xml:space="preserve">Students may also use letter-sized paper or posters to create a document, for public display, that describes their data set and music concept. Students should describe the data, what part(s) of it were used for inspiration, and how they imagined that data as sound. In other words, how did you translate your understanding of data into music? What was your journey and how did you end up where you are now?</w:t>
      </w:r>
    </w:p>
    <w:p>
      <w:pPr>
        <w:pStyle w:val="Heading2"/>
      </w:pPr>
      <w:bookmarkStart w:id="86" w:name="performance"/>
      <w:r>
        <w:t xml:space="preserve">Performance</w:t>
      </w:r>
      <w:bookmarkEnd w:id="86"/>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87" w:name="materials-and-tools-list"/>
      <w:r>
        <w:t xml:space="preserve">Materials and Tools List</w:t>
      </w:r>
      <w:bookmarkEnd w:id="87"/>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88" w:name="pvc-didgeridoo"/>
      <w:r>
        <w:t xml:space="preserve">PVC Didgeridoo</w:t>
      </w:r>
      <w:bookmarkEnd w:id="88"/>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 ~3m</w:t>
            </w:r>
          </w:p>
        </w:tc>
        <w:tc>
          <w:p>
            <w:pPr>
              <w:pStyle w:val="Compact"/>
              <w:jc w:val="left"/>
            </w:pPr>
            <w:r>
              <w:t xml:space="preserve">1</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9" w:name="pvc-paixiao"/>
      <w:r>
        <w:t xml:space="preserve">PVC Paixiao</w:t>
      </w:r>
      <w:bookmarkEnd w:id="89"/>
    </w:p>
    <w:p>
      <w:pPr>
        <w:pStyle w:val="TableCaption"/>
      </w:pPr>
      <w:r>
        <w:t xml:space="preserve">Table 3: Materials for constructing a PVC Paixiao.</w:t>
      </w:r>
    </w:p>
    <w:tbl>
      <w:tblPr>
        <w:tblStyle w:val="Table"/>
        <w:tblW w:type="pct" w:w="0.0"/>
        <w:tblLook w:firstRow="1"/>
        <w:tblCaption w:val="Table 3: Materia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0.5", Schedule 40, ~1m</w:t>
            </w:r>
          </w:p>
        </w:tc>
        <w:tc>
          <w:p>
            <w:pPr>
              <w:pStyle w:val="Compact"/>
              <w:jc w:val="left"/>
            </w:pPr>
            <w:r>
              <w:t xml:space="preserve">1</w:t>
            </w:r>
          </w:p>
        </w:tc>
        <w:tc>
          <w:p>
            <w:pPr>
              <w:pStyle w:val="Compact"/>
              <w:jc w:val="left"/>
            </w:pPr>
            <w:r>
              <w:t xml:space="preserve">50</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c>
          <w:p>
            <w:pPr>
              <w:pStyle w:val="Compact"/>
              <w:jc w:val="left"/>
            </w:pPr>
            <w:r>
              <w:t xml:space="preserve">300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c>
          <w:p>
            <w:pPr>
              <w:pStyle w:val="Compact"/>
              <w:jc w:val="left"/>
            </w:pPr>
            <w:r>
              <w:t xml:space="preserve">50</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90" w:name="suggested-tools"/>
      <w:r>
        <w:t xml:space="preserve">Suggested Tools</w:t>
      </w:r>
      <w:bookmarkEnd w:id="90"/>
    </w:p>
    <w:p>
      <w:pPr>
        <w:pStyle w:val="TableCaption"/>
      </w:pPr>
      <w:r>
        <w:t xml:space="preserve">Table 4: Suggested tools for constructing a PVC Didgeridoo and Paixiao.</w:t>
      </w:r>
    </w:p>
    <w:tbl>
      <w:tblPr>
        <w:tblStyle w:val="Table"/>
        <w:tblW w:type="pct" w:w="0.0"/>
        <w:tblLook w:firstRow="1"/>
        <w:tblCaption w:val="Table 4: Suggested tools for constructing a PVC Didgeridoo and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 or pull saw</w:t>
            </w:r>
          </w:p>
        </w:tc>
        <w:tc>
          <w:p>
            <w:pPr>
              <w:pStyle w:val="Compact"/>
              <w:jc w:val="left"/>
            </w:pPr>
            <w:r>
              <w:t xml:space="preserve">small</w:t>
            </w:r>
          </w:p>
        </w:tc>
        <w:tc>
          <w:p>
            <w:pPr>
              <w:pStyle w:val="Compact"/>
              <w:jc w:val="left"/>
            </w:pPr>
            <w:r>
              <w:t xml:space="preserve">1</w:t>
            </w:r>
          </w:p>
        </w:tc>
        <w:tc>
          <w:p>
            <w:pPr>
              <w:pStyle w:val="Compact"/>
              <w:jc w:val="left"/>
            </w:pPr>
            <w:r>
              <w:t xml:space="preserve">Up to 50</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Up to 50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91" w:name="materials-and-tools-gallery"/>
      <w:r>
        <w:t xml:space="preserve">Materials and Tools Gallery</w:t>
      </w:r>
      <w:bookmarkEnd w:id="91"/>
    </w:p>
    <w:p>
      <w:pPr>
        <w:pStyle w:val="CaptionedFigure"/>
      </w:pPr>
      <w:r>
        <w:drawing>
          <wp:inline>
            <wp:extent cx="5334000" cy="5334000"/>
            <wp:effectExtent b="0" l="0" r="0" t="0"/>
            <wp:docPr descr="Figure 14: PVC Pipe, Image Source" title="" id="1" name="Picture"/>
            <a:graphic>
              <a:graphicData uri="http://schemas.openxmlformats.org/drawingml/2006/picture">
                <pic:pic>
                  <pic:nvPicPr>
                    <pic:cNvPr descr="img/pvcPipe.jp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Pipe,</w:t>
      </w:r>
      <w:r>
        <w:t xml:space="preserve"> </w:t>
      </w:r>
      <w:hyperlink r:id="rId93">
        <w:r>
          <w:rPr>
            <w:rStyle w:val="Hyperlink"/>
          </w:rPr>
          <w:t xml:space="preserve">Image Source</w:t>
        </w:r>
      </w:hyperlink>
    </w:p>
    <w:p>
      <w:pPr>
        <w:pStyle w:val="CaptionedFigure"/>
      </w:pPr>
      <w:r>
        <w:drawing>
          <wp:inline>
            <wp:extent cx="5334000" cy="5334000"/>
            <wp:effectExtent b="0" l="0" r="0" t="0"/>
            <wp:docPr descr="Figure 15: PVC Trap Adapter, Image Source" title="" id="1" name="Picture"/>
            <a:graphic>
              <a:graphicData uri="http://schemas.openxmlformats.org/drawingml/2006/picture">
                <pic:pic>
                  <pic:nvPicPr>
                    <pic:cNvPr descr="img/trapAdapter.jp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Trap Adapter,</w:t>
      </w:r>
      <w:r>
        <w:t xml:space="preserve"> </w:t>
      </w:r>
      <w:hyperlink r:id="rId95">
        <w:r>
          <w:rPr>
            <w:rStyle w:val="Hyperlink"/>
          </w:rPr>
          <w:t xml:space="preserve">Image Source</w:t>
        </w:r>
      </w:hyperlink>
    </w:p>
    <w:p>
      <w:pPr>
        <w:pStyle w:val="CaptionedFigure"/>
      </w:pPr>
      <w:r>
        <w:drawing>
          <wp:inline>
            <wp:extent cx="5334000" cy="5334000"/>
            <wp:effectExtent b="0" l="0" r="0" t="0"/>
            <wp:docPr descr="Figure 16: PVC Reducing Coupling, Image Source" title="" id="1" name="Picture"/>
            <a:graphic>
              <a:graphicData uri="http://schemas.openxmlformats.org/drawingml/2006/picture">
                <pic:pic>
                  <pic:nvPicPr>
                    <pic:cNvPr descr="img/reducingCoupling.jp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Reducing Coupling,</w:t>
      </w:r>
      <w:r>
        <w:t xml:space="preserve"> </w:t>
      </w:r>
      <w:hyperlink r:id="rId97">
        <w:r>
          <w:rPr>
            <w:rStyle w:val="Hyperlink"/>
          </w:rPr>
          <w:t xml:space="preserve">Image Source</w:t>
        </w:r>
      </w:hyperlink>
    </w:p>
    <w:p>
      <w:pPr>
        <w:pStyle w:val="CaptionedFigure"/>
      </w:pPr>
      <w:r>
        <w:drawing>
          <wp:inline>
            <wp:extent cx="5334000" cy="5334000"/>
            <wp:effectExtent b="0" l="0" r="0" t="0"/>
            <wp:docPr descr="Figure 17: Medium-grit sandpaper, Image Source" title="" id="1" name="Picture"/>
            <a:graphic>
              <a:graphicData uri="http://schemas.openxmlformats.org/drawingml/2006/picture">
                <pic:pic>
                  <pic:nvPicPr>
                    <pic:cNvPr descr="img/sandpaperMulti.jpg" id="0" name="Picture"/>
                    <pic:cNvPicPr>
                      <a:picLocks noChangeArrowheads="1" noChangeAspect="1"/>
                    </pic:cNvPicPr>
                  </pic:nvPicPr>
                  <pic:blipFill>
                    <a:blip r:embed="rId9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99">
        <w:r>
          <w:rPr>
            <w:rStyle w:val="Hyperlink"/>
          </w:rPr>
          <w:t xml:space="preserve">Image Source</w:t>
        </w:r>
      </w:hyperlink>
    </w:p>
    <w:p>
      <w:pPr>
        <w:pStyle w:val="CaptionedFigure"/>
      </w:pPr>
      <w:r>
        <w:drawing>
          <wp:inline>
            <wp:extent cx="5334000" cy="4506310"/>
            <wp:effectExtent b="0" l="0" r="0" t="0"/>
            <wp:docPr descr="Figure 18: Alcohol prep pads, Image Source" title="" id="1" name="Picture"/>
            <a:graphic>
              <a:graphicData uri="http://schemas.openxmlformats.org/drawingml/2006/picture">
                <pic:pic>
                  <pic:nvPicPr>
                    <pic:cNvPr descr="img/alcoholPrepPads.jpg" id="0" name="Picture"/>
                    <pic:cNvPicPr>
                      <a:picLocks noChangeArrowheads="1" noChangeAspect="1"/>
                    </pic:cNvPicPr>
                  </pic:nvPicPr>
                  <pic:blipFill>
                    <a:blip r:embed="rId100"/>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18: Alcohol prep pads,</w:t>
      </w:r>
      <w:r>
        <w:t xml:space="preserve"> </w:t>
      </w:r>
      <w:hyperlink r:id="rId101">
        <w:r>
          <w:rPr>
            <w:rStyle w:val="Hyperlink"/>
          </w:rPr>
          <w:t xml:space="preserve">Image Source</w:t>
        </w:r>
      </w:hyperlink>
    </w:p>
    <w:p>
      <w:pPr>
        <w:pStyle w:val="CaptionedFigure"/>
      </w:pPr>
      <w:r>
        <w:drawing>
          <wp:inline>
            <wp:extent cx="5334000" cy="5334000"/>
            <wp:effectExtent b="0" l="0" r="0" t="0"/>
            <wp:docPr descr="Figure 19: Hacksaw, Image Source" title="" id="1" name="Picture"/>
            <a:graphic>
              <a:graphicData uri="http://schemas.openxmlformats.org/drawingml/2006/picture">
                <pic:pic>
                  <pic:nvPicPr>
                    <pic:cNvPr descr="img/hacksaw.jp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Hacksaw,</w:t>
      </w:r>
      <w:r>
        <w:t xml:space="preserve"> </w:t>
      </w:r>
      <w:hyperlink r:id="rId103">
        <w:r>
          <w:rPr>
            <w:rStyle w:val="Hyperlink"/>
          </w:rPr>
          <w:t xml:space="preserve">Image Source</w:t>
        </w:r>
      </w:hyperlink>
    </w:p>
    <w:p>
      <w:pPr>
        <w:pStyle w:val="CaptionedFigure"/>
      </w:pPr>
      <w:r>
        <w:drawing>
          <wp:inline>
            <wp:extent cx="5334000" cy="5334000"/>
            <wp:effectExtent b="0" l="0" r="0" t="0"/>
            <wp:docPr descr="Figure 20: Hot Glue Gun, Image Source" title="" id="1" name="Picture"/>
            <a:graphic>
              <a:graphicData uri="http://schemas.openxmlformats.org/drawingml/2006/picture">
                <pic:pic>
                  <pic:nvPicPr>
                    <pic:cNvPr descr="img/hotGlueGun.jpg" id="0" name="Picture"/>
                    <pic:cNvPicPr>
                      <a:picLocks noChangeArrowheads="1" noChangeAspect="1"/>
                    </pic:cNvPicPr>
                  </pic:nvPicPr>
                  <pic:blipFill>
                    <a:blip r:embed="rId10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Hot Glue Gun,</w:t>
      </w:r>
      <w:r>
        <w:t xml:space="preserve"> </w:t>
      </w:r>
      <w:hyperlink r:id="rId105">
        <w:r>
          <w:rPr>
            <w:rStyle w:val="Hyperlink"/>
          </w:rPr>
          <w:t xml:space="preserve">Image Source</w:t>
        </w:r>
      </w:hyperlink>
    </w:p>
    <w:p>
      <w:pPr>
        <w:pStyle w:val="CaptionedFigure"/>
      </w:pPr>
      <w:r>
        <w:drawing>
          <wp:inline>
            <wp:extent cx="3835400" cy="5397500"/>
            <wp:effectExtent b="0" l="0" r="0" t="0"/>
            <wp:docPr descr="Figure 21: Clip-on tuner, Image Source" title="" id="1" name="Picture"/>
            <a:graphic>
              <a:graphicData uri="http://schemas.openxmlformats.org/drawingml/2006/picture">
                <pic:pic>
                  <pic:nvPicPr>
                    <pic:cNvPr descr="img/tuner.png" id="0" name="Picture"/>
                    <pic:cNvPicPr>
                      <a:picLocks noChangeArrowheads="1" noChangeAspect="1"/>
                    </pic:cNvPicPr>
                  </pic:nvPicPr>
                  <pic:blipFill>
                    <a:blip r:embed="rId106"/>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107">
        <w:r>
          <w:rPr>
            <w:rStyle w:val="Hyperlink"/>
          </w:rPr>
          <w:t xml:space="preserve">Image Source</w:t>
        </w:r>
      </w:hyperlink>
    </w:p>
    <w:p>
      <w:pPr>
        <w:pStyle w:val="CaptionedFigure"/>
      </w:pPr>
      <w:r>
        <w:drawing>
          <wp:inline>
            <wp:extent cx="5334000" cy="3899427"/>
            <wp:effectExtent b="0" l="0" r="0" t="0"/>
            <wp:docPr descr="Figure 22: Permanent markers, Image Source" title="" id="1" name="Picture"/>
            <a:graphic>
              <a:graphicData uri="http://schemas.openxmlformats.org/drawingml/2006/picture">
                <pic:pic>
                  <pic:nvPicPr>
                    <pic:cNvPr descr="img/markers.png" id="0" name="Picture"/>
                    <pic:cNvPicPr>
                      <a:picLocks noChangeArrowheads="1" noChangeAspect="1"/>
                    </pic:cNvPicPr>
                  </pic:nvPicPr>
                  <pic:blipFill>
                    <a:blip r:embed="rId108"/>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109">
        <w:r>
          <w:rPr>
            <w:rStyle w:val="Hyperlink"/>
          </w:rPr>
          <w:t xml:space="preserve">Image Source</w:t>
        </w:r>
      </w:hyperlink>
    </w:p>
    <w:p>
      <w:pPr>
        <w:pStyle w:val="CaptionedFigure"/>
      </w:pPr>
      <w:r>
        <w:drawing>
          <wp:inline>
            <wp:extent cx="5334000" cy="2920365"/>
            <wp:effectExtent b="0" l="0" r="0" t="0"/>
            <wp:docPr descr="Figure 23: Safety glasses, Image Source" title="" id="1" name="Picture"/>
            <a:graphic>
              <a:graphicData uri="http://schemas.openxmlformats.org/drawingml/2006/picture">
                <pic:pic>
                  <pic:nvPicPr>
                    <pic:cNvPr descr="img/glasses.jpg" id="0" name="Picture"/>
                    <pic:cNvPicPr>
                      <a:picLocks noChangeArrowheads="1" noChangeAspect="1"/>
                    </pic:cNvPicPr>
                  </pic:nvPicPr>
                  <pic:blipFill>
                    <a:blip r:embed="rId110"/>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111">
        <w:r>
          <w:rPr>
            <w:rStyle w:val="Hyperlink"/>
          </w:rPr>
          <w:t xml:space="preserve">Image Source</w:t>
        </w:r>
      </w:hyperlink>
    </w:p>
    <w:p>
      <w:pPr>
        <w:pStyle w:val="Heading1"/>
      </w:pPr>
      <w:bookmarkStart w:id="112" w:name="supplemental-documents"/>
      <w:r>
        <w:t xml:space="preserve">Supplemental Documents</w:t>
      </w:r>
      <w:bookmarkEnd w:id="112"/>
    </w:p>
    <w:p>
      <w:pPr>
        <w:pStyle w:val="Compact"/>
        <w:numPr>
          <w:numId w:val="1005"/>
          <w:ilvl w:val="0"/>
        </w:numPr>
      </w:pPr>
      <w:hyperlink r:id="rId113">
        <w:r>
          <w:rPr>
            <w:rStyle w:val="Hyperlink"/>
          </w:rPr>
          <w:t xml:space="preserve">Teacher Guide</w:t>
        </w:r>
      </w:hyperlink>
    </w:p>
    <w:p>
      <w:pPr>
        <w:pStyle w:val="Compact"/>
        <w:numPr>
          <w:numId w:val="1005"/>
          <w:ilvl w:val="0"/>
        </w:numPr>
      </w:pPr>
      <w:hyperlink r:id="rId114">
        <w:r>
          <w:rPr>
            <w:rStyle w:val="Hyperlink"/>
          </w:rPr>
          <w:t xml:space="preserve">Student Handout</w:t>
        </w:r>
      </w:hyperlink>
    </w:p>
    <w:p>
      <w:pPr>
        <w:pStyle w:val="Compact"/>
        <w:numPr>
          <w:numId w:val="1005"/>
          <w:ilvl w:val="0"/>
        </w:numPr>
      </w:pPr>
      <w:hyperlink r:id="rId115">
        <w:r>
          <w:rPr>
            <w:rStyle w:val="Hyperlink"/>
          </w:rPr>
          <w:t xml:space="preserve">Student Assessment</w:t>
        </w:r>
      </w:hyperlink>
    </w:p>
    <w:p>
      <w:pPr>
        <w:pStyle w:val="Compact"/>
        <w:numPr>
          <w:numId w:val="1005"/>
          <w:ilvl w:val="0"/>
        </w:numPr>
      </w:pPr>
      <w:hyperlink r:id="rId116">
        <w:r>
          <w:rPr>
            <w:rStyle w:val="Hyperlink"/>
          </w:rPr>
          <w:t xml:space="preserve">Grading Rubric</w:t>
        </w:r>
      </w:hyperlink>
    </w:p>
    <w:p>
      <w:pPr>
        <w:pStyle w:val="Compact"/>
        <w:numPr>
          <w:numId w:val="1005"/>
          <w:ilvl w:val="0"/>
        </w:numPr>
      </w:pPr>
      <w:hyperlink r:id="rId117">
        <w:r>
          <w:rPr>
            <w:rStyle w:val="Hyperlink"/>
          </w:rPr>
          <w:t xml:space="preserve">Data Presentation (.pptx)</w:t>
        </w:r>
      </w:hyperlink>
    </w:p>
    <w:p>
      <w:pPr>
        <w:pStyle w:val="Heading1"/>
      </w:pPr>
      <w:bookmarkStart w:id="118" w:name="implementation-guide"/>
      <w:r>
        <w:t xml:space="preserve">Implementation Guide</w:t>
      </w:r>
      <w:bookmarkEnd w:id="118"/>
    </w:p>
    <w:p>
      <w:pPr>
        <w:pStyle w:val="Heading2"/>
      </w:pPr>
      <w:bookmarkStart w:id="119" w:name="introduction-1"/>
      <w:r>
        <w:t xml:space="preserve">Introduction</w:t>
      </w:r>
      <w:bookmarkEnd w:id="119"/>
    </w:p>
    <w:p>
      <w:pPr>
        <w:pStyle w:val="FirstParagraph"/>
      </w:pPr>
      <w:r>
        <w:t xml:space="preserve">This guide is a suggestion for implementation and is intended as a starting point for discussion with the understanding that each learning environment may have unique needs and challenges. Below, a suggested schedule is provided to guide in-class delivery. Additionally, a few notes are provided to assist the faciltiator(s) to help create a positive learning experience for all students and instructors alike.</w:t>
      </w:r>
    </w:p>
    <w:p>
      <w:pPr>
        <w:pStyle w:val="Heading2"/>
      </w:pPr>
      <w:bookmarkStart w:id="120" w:name="schedule"/>
      <w:r>
        <w:t xml:space="preserve">Schedule</w:t>
      </w:r>
      <w:bookmarkEnd w:id="120"/>
    </w:p>
    <w:p>
      <w:pPr>
        <w:pStyle w:val="FirstParagraph"/>
      </w:pPr>
      <w:r>
        <w:t xml:space="preserve">The following schedule assumes a 5-hour total delivery time with two sessions spanning one lunch/meal period at the midpoint of the delivery.</w:t>
      </w:r>
    </w:p>
    <w:p>
      <w:pPr>
        <w:pStyle w:val="TableCaption"/>
      </w:pPr>
      <w:r>
        <w:t xml:space="preserve">Table 1: Suggested implementation timeline.</w:t>
      </w:r>
    </w:p>
    <w:tbl>
      <w:tblPr>
        <w:tblStyle w:val="Table"/>
        <w:tblW w:type="pct" w:w="0.0"/>
        <w:tblLook w:firstRow="1"/>
        <w:tblCaption w:val="Table 1: Suggested implementation timeline."/>
      </w:tblPr>
      <w:tblGrid/>
      <w:tr>
        <w:trPr>
          <w:cnfStyle w:firstRow="1"/>
        </w:trPr>
        <w:tc>
          <w:tcPr>
            <w:tcBorders>
              <w:bottom w:val="single"/>
            </w:tcBorders>
            <w:vAlign w:val="bottom"/>
          </w:tcPr>
          <w:p>
            <w:pPr>
              <w:pStyle w:val="Compact"/>
              <w:jc w:val="left"/>
            </w:pPr>
            <w:r>
              <w:t xml:space="preserve">Time</w:t>
            </w:r>
          </w:p>
        </w:tc>
        <w:tc>
          <w:tcPr>
            <w:tcBorders>
              <w:bottom w:val="single"/>
            </w:tcBorders>
            <w:vAlign w:val="bottom"/>
          </w:tcPr>
          <w:p>
            <w:pPr>
              <w:pStyle w:val="Compact"/>
              <w:jc w:val="left"/>
            </w:pPr>
            <w:r>
              <w:t xml:space="preserve">Day 1</w:t>
            </w:r>
          </w:p>
        </w:tc>
        <w:tc>
          <w:tcPr>
            <w:tcBorders>
              <w:bottom w:val="single"/>
            </w:tcBorders>
            <w:vAlign w:val="bottom"/>
          </w:tcPr>
          <w:p>
            <w:pPr>
              <w:pStyle w:val="Compact"/>
              <w:jc w:val="left"/>
            </w:pPr>
            <w:r>
              <w:t xml:space="preserve">Day 2</w:t>
            </w:r>
          </w:p>
        </w:tc>
      </w:tr>
      <w:tr>
        <w:tc>
          <w:p>
            <w:pPr>
              <w:pStyle w:val="Compact"/>
              <w:jc w:val="left"/>
            </w:pPr>
            <w:r>
              <w:t xml:space="preserve">09:30</w:t>
            </w:r>
          </w:p>
        </w:tc>
        <w:tc>
          <w:p>
            <w:pPr>
              <w:pStyle w:val="Compact"/>
              <w:jc w:val="left"/>
            </w:pPr>
            <w:r>
              <w:t xml:space="preserve">Welcome</w:t>
            </w:r>
          </w:p>
        </w:tc>
        <w:tc>
          <w:p>
            <w:pPr>
              <w:pStyle w:val="Compact"/>
              <w:jc w:val="left"/>
            </w:pPr>
            <w:r>
              <w:t xml:space="preserve">Welcome</w:t>
            </w:r>
          </w:p>
        </w:tc>
      </w:tr>
      <w:tr>
        <w:tc>
          <w:p>
            <w:pPr>
              <w:pStyle w:val="Compact"/>
              <w:jc w:val="left"/>
            </w:pPr>
            <w:r>
              <w:t xml:space="preserve">09:35</w:t>
            </w:r>
          </w:p>
        </w:tc>
        <w:tc>
          <w:p>
            <w:pPr>
              <w:pStyle w:val="Compact"/>
              <w:jc w:val="left"/>
            </w:pPr>
            <w:r>
              <w:t xml:space="preserve">Data Exploration</w:t>
            </w:r>
          </w:p>
        </w:tc>
        <w:tc>
          <w:p>
            <w:pPr>
              <w:pStyle w:val="Compact"/>
              <w:jc w:val="left"/>
            </w:pPr>
            <w:r>
              <w:t xml:space="preserve">Notation &amp; Composition</w:t>
            </w:r>
          </w:p>
        </w:tc>
      </w:tr>
      <w:tr>
        <w:tc>
          <w:p>
            <w:pPr>
              <w:pStyle w:val="Compact"/>
              <w:jc w:val="left"/>
            </w:pPr>
            <w:r>
              <w:t xml:space="preserve">10:15</w:t>
            </w:r>
          </w:p>
        </w:tc>
        <w:tc>
          <w:p>
            <w:pPr>
              <w:pStyle w:val="Compact"/>
              <w:jc w:val="left"/>
            </w:pPr>
            <w:r>
              <w:t xml:space="preserve">Break</w:t>
            </w:r>
          </w:p>
        </w:tc>
        <w:tc>
          <w:p>
            <w:pPr>
              <w:pStyle w:val="Compact"/>
              <w:jc w:val="left"/>
            </w:pPr>
            <w:r>
              <w:t xml:space="preserve">Break</w:t>
            </w:r>
          </w:p>
        </w:tc>
      </w:tr>
      <w:tr>
        <w:tc>
          <w:p>
            <w:pPr>
              <w:pStyle w:val="Compact"/>
              <w:jc w:val="left"/>
            </w:pPr>
            <w:r>
              <w:t xml:space="preserve">10:30</w:t>
            </w:r>
          </w:p>
        </w:tc>
        <w:tc>
          <w:p>
            <w:pPr>
              <w:pStyle w:val="Compact"/>
              <w:jc w:val="left"/>
            </w:pPr>
            <w:r>
              <w:t xml:space="preserve">Guest Musician</w:t>
            </w:r>
          </w:p>
        </w:tc>
        <w:tc>
          <w:p>
            <w:pPr>
              <w:pStyle w:val="Compact"/>
              <w:jc w:val="left"/>
            </w:pPr>
            <w:r>
              <w:t xml:space="preserve">Finalize Construction, Notation, and Composition</w:t>
            </w:r>
          </w:p>
        </w:tc>
      </w:tr>
      <w:tr>
        <w:tc>
          <w:p>
            <w:pPr>
              <w:pStyle w:val="Compact"/>
              <w:jc w:val="left"/>
            </w:pPr>
            <w:r>
              <w:t xml:space="preserve">11:30</w:t>
            </w:r>
          </w:p>
        </w:tc>
        <w:tc>
          <w:p>
            <w:pPr>
              <w:pStyle w:val="Compact"/>
              <w:jc w:val="left"/>
            </w:pPr>
            <w:r>
              <w:t xml:space="preserve">Instrument Construction</w:t>
            </w:r>
          </w:p>
        </w:tc>
        <w:tc>
          <w:p>
            <w:pPr>
              <w:pStyle w:val="Compact"/>
              <w:jc w:val="left"/>
            </w:pPr>
            <w:r>
              <w:t xml:space="preserve">Performances &amp; Summary</w:t>
            </w:r>
          </w:p>
        </w:tc>
      </w:tr>
      <w:tr>
        <w:tc>
          <w:p>
            <w:pPr>
              <w:pStyle w:val="Compact"/>
              <w:jc w:val="left"/>
            </w:pPr>
            <w:r>
              <w:t xml:space="preserve">12:00</w:t>
            </w:r>
          </w:p>
        </w:tc>
        <w:tc>
          <w:p>
            <w:pPr>
              <w:pStyle w:val="Compact"/>
              <w:jc w:val="left"/>
            </w:pPr>
            <w:r>
              <w:t xml:space="preserve">Lunch</w:t>
            </w:r>
          </w:p>
        </w:tc>
        <w:tc>
          <w:p>
            <w:pPr>
              <w:pStyle w:val="Compact"/>
              <w:jc w:val="left"/>
            </w:pPr>
            <w:r>
              <w:t xml:space="preserve">Lunch</w:t>
            </w:r>
          </w:p>
        </w:tc>
      </w:tr>
    </w:tbl>
    <w:p>
      <w:pPr>
        <w:pStyle w:val="Heading2"/>
      </w:pPr>
      <w:bookmarkStart w:id="121" w:name="facilitator-notes"/>
      <w:r>
        <w:t xml:space="preserve">Facilitator Notes</w:t>
      </w:r>
      <w:bookmarkEnd w:id="121"/>
    </w:p>
    <w:p>
      <w:pPr>
        <w:pStyle w:val="FirstParagraph"/>
      </w:pPr>
      <w:r>
        <w:t xml:space="preserve">The following notes may help you in your role as a facilitator.</w:t>
      </w:r>
    </w:p>
    <w:p>
      <w:pPr>
        <w:numPr>
          <w:numId w:val="1006"/>
          <w:ilvl w:val="0"/>
        </w:numPr>
      </w:pPr>
      <w:r>
        <w:t xml:space="preserve">You are a facilitator, not an instructor. Guide students to find their own way, their own solutions to problems, and their own learning.</w:t>
      </w:r>
    </w:p>
    <w:p>
      <w:pPr>
        <w:numPr>
          <w:numId w:val="1006"/>
          <w:ilvl w:val="0"/>
        </w:numPr>
      </w:pPr>
      <w:r>
        <w:t xml:space="preserve">This should be a creative, fun activity. Make this a priority and learning will follow.</w:t>
      </w:r>
    </w:p>
    <w:p>
      <w:pPr>
        <w:numPr>
          <w:numId w:val="1006"/>
          <w:ilvl w:val="0"/>
        </w:numPr>
      </w:pPr>
      <w:r>
        <w:t xml:space="preserve">Students should be engaged in small teams to help each other learn as peer-mentors. Encourage discussion among teams to arrive at solutions. If a team struggles, introduce that team to another group of peers to continue discussions with fresh ideas.</w:t>
      </w:r>
    </w:p>
    <w:p>
      <w:pPr>
        <w:numPr>
          <w:numId w:val="1006"/>
          <w:ilvl w:val="0"/>
        </w:numPr>
      </w:pPr>
      <w:r>
        <w:t xml:space="preserve">Students may be challenged with musical aspects of this activity. Look for musically-adept students that may be willing to add their input to discussions around the room. Take advantage of the expertise in the room!</w:t>
      </w:r>
    </w:p>
    <w:p>
      <w:pPr>
        <w:numPr>
          <w:numId w:val="1006"/>
          <w:ilvl w:val="0"/>
        </w:numPr>
      </w:pPr>
      <w:r>
        <w:t xml:space="preserve">You may see a wide variety in notation and playing styles. Encourage logic, reproducibility, connections to data, and clarity in justification. As long as students can connect what they play to their data understanding and observations, they have met the challenge presented in this activity. Their musical notation should make sense to not only themselves but to others who may need to play the piece. Ensure the notation systems devised by student teams make sense to others.</w:t>
      </w:r>
    </w:p>
    <w:p>
      <w:pPr>
        <w:numPr>
          <w:numId w:val="1006"/>
          <w:ilvl w:val="0"/>
        </w:numPr>
      </w:pPr>
      <w:r>
        <w:t xml:space="preserve">Ask questions frequently to encourage discussion but also to assess the progress of the student teams. Check in with each team to check their understanding of the timeline so no team gets stuck.</w:t>
      </w:r>
    </w:p>
    <w:p>
      <w:pPr>
        <w:numPr>
          <w:numId w:val="1006"/>
          <w:ilvl w:val="0"/>
        </w:numPr>
      </w:pPr>
      <w:r>
        <w:t xml:space="preserve">Ask teams to pre-design new solutions if they had more free time to do so. What would the next-generation didgeridoo look like if you could build it again? How would you change your design if you had more (time, materials,…)?</w:t>
      </w:r>
    </w:p>
    <w:bookmarkStart w:id="142" w:name="refs"/>
    <w:bookmarkStart w:id="123" w:name="ref-paixiaoHistory"/>
    <w:p>
      <w:pPr>
        <w:pStyle w:val="Bibliography"/>
      </w:pPr>
      <w:r>
        <w:t xml:space="preserve">Britannica. 2019. “Paixiao.” britannica.com.</w:t>
      </w:r>
      <w:r>
        <w:t xml:space="preserve"> </w:t>
      </w:r>
      <w:hyperlink r:id="rId122">
        <w:r>
          <w:rPr>
            <w:rStyle w:val="Hyperlink"/>
          </w:rPr>
          <w:t xml:space="preserve">https://www.britannica.com/art/paixiao</w:t>
        </w:r>
      </w:hyperlink>
      <w:r>
        <w:t xml:space="preserve">.</w:t>
      </w:r>
    </w:p>
    <w:bookmarkEnd w:id="123"/>
    <w:bookmarkStart w:id="125" w:name="ref-tuning"/>
    <w:p>
      <w:pPr>
        <w:pStyle w:val="Bibliography"/>
      </w:pPr>
      <w:r>
        <w:t xml:space="preserve">Didjshop. 2016. “Physics of the Didgeridoo.” didjshop.com.</w:t>
      </w:r>
      <w:r>
        <w:t xml:space="preserve"> </w:t>
      </w:r>
      <w:hyperlink r:id="rId124">
        <w:r>
          <w:rPr>
            <w:rStyle w:val="Hyperlink"/>
          </w:rPr>
          <w:t xml:space="preserve">https://www.didjshop.com/physicsDidj.html</w:t>
        </w:r>
      </w:hyperlink>
      <w:r>
        <w:t xml:space="preserve">.</w:t>
      </w:r>
    </w:p>
    <w:bookmarkEnd w:id="125"/>
    <w:bookmarkStart w:id="127"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26">
        <w:r>
          <w:rPr>
            <w:rStyle w:val="Hyperlink"/>
          </w:rPr>
          <w:t xml:space="preserve">https://www.acoustics.asn.au/journal/1996/1996_24_1_Fletcher.pdf</w:t>
        </w:r>
      </w:hyperlink>
      <w:r>
        <w:t xml:space="preserve">.</w:t>
      </w:r>
    </w:p>
    <w:bookmarkEnd w:id="127"/>
    <w:bookmarkStart w:id="128" w:name="ref-terminology"/>
    <w:p>
      <w:pPr>
        <w:pStyle w:val="Bibliography"/>
      </w:pPr>
      <w:r>
        <w:t xml:space="preserve">Gallery, Spirit. n.d. “Didgeridoo Terminology.” spiritgallery.com.au.</w:t>
      </w:r>
      <w:r>
        <w:t xml:space="preserve"> </w:t>
      </w:r>
      <w:hyperlink r:id="rId62">
        <w:r>
          <w:rPr>
            <w:rStyle w:val="Hyperlink"/>
          </w:rPr>
          <w:t xml:space="preserve">https://www.spiritgallery.com.au/didgeridoo-terminology</w:t>
        </w:r>
      </w:hyperlink>
      <w:r>
        <w:t xml:space="preserve">.</w:t>
      </w:r>
    </w:p>
    <w:bookmarkEnd w:id="128"/>
    <w:bookmarkStart w:id="129" w:name="ref-threshold"/>
    <w:p>
      <w:pPr>
        <w:pStyle w:val="Bibliography"/>
      </w:pPr>
      <w:r>
        <w:t xml:space="preserve">Guda, Nelson. n.d. “Threshold.” nelsonguda.com.</w:t>
      </w:r>
      <w:r>
        <w:t xml:space="preserve"> </w:t>
      </w:r>
      <w:hyperlink r:id="rId29">
        <w:r>
          <w:rPr>
            <w:rStyle w:val="Hyperlink"/>
          </w:rPr>
          <w:t xml:space="preserve">https://nelsonguda.com/project/threshold/</w:t>
        </w:r>
      </w:hyperlink>
      <w:r>
        <w:t xml:space="preserve">.</w:t>
      </w:r>
    </w:p>
    <w:bookmarkEnd w:id="129"/>
    <w:bookmarkStart w:id="131" w:name="ref-harris"/>
    <w:p>
      <w:pPr>
        <w:pStyle w:val="Bibliography"/>
      </w:pPr>
      <w:r>
        <w:t xml:space="preserve">Harris, Matthew. 2013. “The Didgeridoo.” didjiman.com.</w:t>
      </w:r>
      <w:r>
        <w:t xml:space="preserve"> </w:t>
      </w:r>
      <w:hyperlink r:id="rId130">
        <w:r>
          <w:rPr>
            <w:rStyle w:val="Hyperlink"/>
          </w:rPr>
          <w:t xml:space="preserve">http://didjiman.com/didjeridu/</w:t>
        </w:r>
      </w:hyperlink>
      <w:r>
        <w:t xml:space="preserve">.</w:t>
      </w:r>
    </w:p>
    <w:bookmarkEnd w:id="131"/>
    <w:bookmarkStart w:id="133" w:name="ref-timbres"/>
    <w:p>
      <w:pPr>
        <w:pStyle w:val="Bibliography"/>
      </w:pPr>
      <w:r>
        <w:t xml:space="preserve">Hopkin, Michael. 2005. “Physicists Learn Secrets of Didgeridoo.” nature.com.</w:t>
      </w:r>
      <w:r>
        <w:t xml:space="preserve"> </w:t>
      </w:r>
      <w:hyperlink r:id="rId132">
        <w:r>
          <w:rPr>
            <w:rStyle w:val="Hyperlink"/>
          </w:rPr>
          <w:t xml:space="preserve">https://www.nature.com/news/2005/050704/full/news050704-7.html</w:t>
        </w:r>
      </w:hyperlink>
      <w:r>
        <w:t xml:space="preserve">.</w:t>
      </w:r>
    </w:p>
    <w:bookmarkEnd w:id="133"/>
    <w:bookmarkStart w:id="135" w:name="ref-sonification"/>
    <w:p>
      <w:pPr>
        <w:pStyle w:val="Bibliography"/>
      </w:pPr>
      <w:r>
        <w:t xml:space="preserve">Nees, Michael, and Bruce Walker. 2012. “Theory of Sonification.” In, 9–39.</w:t>
      </w:r>
      <w:r>
        <w:t xml:space="preserve"> </w:t>
      </w:r>
      <w:hyperlink r:id="rId134">
        <w:r>
          <w:rPr>
            <w:rStyle w:val="Hyperlink"/>
          </w:rPr>
          <w:t xml:space="preserve">http://sonify.psych.gatech.edu/~ben/references/nees_theory_of_sonification.pdf</w:t>
        </w:r>
      </w:hyperlink>
      <w:r>
        <w:t xml:space="preserve">.</w:t>
      </w:r>
    </w:p>
    <w:bookmarkEnd w:id="135"/>
    <w:bookmarkStart w:id="137" w:name="ref-tempDataViz"/>
    <w:p>
      <w:pPr>
        <w:pStyle w:val="Bibliography"/>
      </w:pPr>
      <w:r>
        <w:t xml:space="preserve">Rosenman, Dave. 2017. “Climate Change: Land Temperature Data, 1850-2015.” kaggle.com.</w:t>
      </w:r>
      <w:r>
        <w:t xml:space="preserve"> </w:t>
      </w:r>
      <w:hyperlink r:id="rId136">
        <w:r>
          <w:rPr>
            <w:rStyle w:val="Hyperlink"/>
          </w:rPr>
          <w:t xml:space="preserve">https://www.kaggle.com/daverosenman/climate-change-land-temperature-data-1850-2015/data</w:t>
        </w:r>
      </w:hyperlink>
      <w:r>
        <w:t xml:space="preserve">.</w:t>
      </w:r>
    </w:p>
    <w:bookmarkEnd w:id="137"/>
    <w:bookmarkStart w:id="139" w:name="ref-tempData"/>
    <w:p>
      <w:pPr>
        <w:pStyle w:val="Bibliography"/>
      </w:pPr>
      <w:r>
        <w:t xml:space="preserve">Study, The Berkeley Earth Surface Temperature. n.d. “Berkeley Earth Data.” berkeleyearth.org.</w:t>
      </w:r>
      <w:r>
        <w:t xml:space="preserve"> </w:t>
      </w:r>
      <w:hyperlink r:id="rId138">
        <w:r>
          <w:rPr>
            <w:rStyle w:val="Hyperlink"/>
          </w:rPr>
          <w:t xml:space="preserve">http://berkeleyearth.org/data/</w:t>
        </w:r>
      </w:hyperlink>
      <w:r>
        <w:t xml:space="preserve">.</w:t>
      </w:r>
    </w:p>
    <w:bookmarkEnd w:id="139"/>
    <w:bookmarkStart w:id="141"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140">
        <w:r>
          <w:rPr>
            <w:rStyle w:val="Hyperlink"/>
          </w:rPr>
          <w:t xml:space="preserve">https://doi.org/10.1038/43639a</w:t>
        </w:r>
      </w:hyperlink>
      <w:r>
        <w:t xml:space="preserve">.</w:t>
      </w:r>
    </w:p>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jp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jpg" /><Relationship Type="http://schemas.openxmlformats.org/officeDocument/2006/relationships/image" Id="rId23" Target="media/rId23.jpg" /><Relationship Type="http://schemas.openxmlformats.org/officeDocument/2006/relationships/image" Id="rId43" Target="media/rId43.jpg" /><Relationship Type="http://schemas.openxmlformats.org/officeDocument/2006/relationships/image" Id="rId110" Target="media/rId110.jpg" /><Relationship Type="http://schemas.openxmlformats.org/officeDocument/2006/relationships/image" Id="rId102" Target="media/rId102.jpg" /><Relationship Type="http://schemas.openxmlformats.org/officeDocument/2006/relationships/image" Id="rId104" Target="media/rId104.jpg" /><Relationship Type="http://schemas.openxmlformats.org/officeDocument/2006/relationships/image" Id="rId108" Target="media/rId108.png" /><Relationship Type="http://schemas.openxmlformats.org/officeDocument/2006/relationships/image" Id="rId78" Target="media/rId78.png" /><Relationship Type="http://schemas.openxmlformats.org/officeDocument/2006/relationships/image" Id="rId60" Target="media/rId60.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98" Target="media/rId98.jpg" /><Relationship Type="http://schemas.openxmlformats.org/officeDocument/2006/relationships/image" Id="rId28" Target="media/rId28.png" /><Relationship Type="http://schemas.openxmlformats.org/officeDocument/2006/relationships/image" Id="rId94" Target="media/rId94.jpg" /><Relationship Type="http://schemas.openxmlformats.org/officeDocument/2006/relationships/image" Id="rId106" Target="media/rId106.png" /><Relationship Type="http://schemas.openxmlformats.org/officeDocument/2006/relationships/image" Id="rId41" Target="media/rId41.png" /><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38" Target="http://berkeleyearth.org/data/" TargetMode="External" /><Relationship Type="http://schemas.openxmlformats.org/officeDocument/2006/relationships/hyperlink" Id="rId130" Target="http://didjiman.com/didjeridu/" TargetMode="External" /><Relationship Type="http://schemas.openxmlformats.org/officeDocument/2006/relationships/hyperlink" Id="rId134"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0"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26"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2"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24"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36"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2"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7" Target="./supplemental/didgeridata.pptx" TargetMode="External" /><Relationship Type="http://schemas.openxmlformats.org/officeDocument/2006/relationships/hyperlink" Id="rId116" Target="./supplemental/didgeridata_RU.pdf" TargetMode="External" /><Relationship Type="http://schemas.openxmlformats.org/officeDocument/2006/relationships/hyperlink" Id="rId115" Target="./supplemental/didgeridata_SA.pdf" TargetMode="External" /><Relationship Type="http://schemas.openxmlformats.org/officeDocument/2006/relationships/hyperlink" Id="rId114" Target="./supplemental/didgeridata_SH.pdf" TargetMode="External" /><Relationship Type="http://schemas.openxmlformats.org/officeDocument/2006/relationships/hyperlink" Id="rId113" Target="./supplemental/didgeridata_TG.pdf" TargetMode="External" /><Relationship Type="http://schemas.openxmlformats.org/officeDocument/2006/relationships/hyperlink" Id="rId138" Target="http://berkeleyearth.org/data/" TargetMode="External" /><Relationship Type="http://schemas.openxmlformats.org/officeDocument/2006/relationships/hyperlink" Id="rId130" Target="http://didjiman.com/didjeridu/" TargetMode="External" /><Relationship Type="http://schemas.openxmlformats.org/officeDocument/2006/relationships/hyperlink" Id="rId134" Target="http://sonify.psych.gatech.edu/~ben/references/nees_theory_of_sonification.pdf" TargetMode="External" /><Relationship Type="http://schemas.openxmlformats.org/officeDocument/2006/relationships/hyperlink" Id="rId76" Target="http://www.markshep.com/flute/Acoustics.html" TargetMode="External" /><Relationship Type="http://schemas.openxmlformats.org/officeDocument/2006/relationships/hyperlink" Id="rId80" Target="http://www.philtulga.com/Panpipes.html" TargetMode="External" /><Relationship Type="http://schemas.openxmlformats.org/officeDocument/2006/relationships/hyperlink" Id="rId75" Target="http://www.sarahtulga.com/panpipes.htm" TargetMode="External" /><Relationship Type="http://schemas.openxmlformats.org/officeDocument/2006/relationships/hyperlink" Id="rId107" Target="http://www.snarktuners.com/products/original-clip-on" TargetMode="External" /><Relationship Type="http://schemas.openxmlformats.org/officeDocument/2006/relationships/hyperlink" Id="rId32"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40"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1" Target="https://power.larc.nasa.gov/" TargetMode="External" /><Relationship Type="http://schemas.openxmlformats.org/officeDocument/2006/relationships/hyperlink" Id="rId126" Target="https://www.acoustics.asn.au/journal/1996/1996_24_1_Fletcher.pdf" TargetMode="External" /><Relationship Type="http://schemas.openxmlformats.org/officeDocument/2006/relationships/hyperlink" Id="rId101" Target="https://www.amazon.com/Care-Touch-Sterile-Alcohol-Medium/dp/B06XS38XH6" TargetMode="External" /><Relationship Type="http://schemas.openxmlformats.org/officeDocument/2006/relationships/hyperlink" Id="rId109" Target="https://www.amazon.com/Sharpie-Permanent-Marker-Multi-Color/dp/B077TJS66N" TargetMode="External" /><Relationship Type="http://schemas.openxmlformats.org/officeDocument/2006/relationships/hyperlink" Id="rId122" Target="https://www.britannica.com/art/paixiao"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24" Target="https://www.didjshop.com/physicsDidj.html" TargetMode="External" /><Relationship Type="http://schemas.openxmlformats.org/officeDocument/2006/relationships/hyperlink" Id="rId97" Target="https://www.homedepot.com/p/3-in-x-1-1-2-in-PVC-DWV-Reducing-Coupling-C4801HD3112/100343439" TargetMode="External" /><Relationship Type="http://schemas.openxmlformats.org/officeDocument/2006/relationships/hyperlink" Id="rId99" Target="https://www.homedepot.com/p/3M-9-in-x-11-in-100-150-220-Grit-Medium-Fine-and-Very-Fine-Aluminum-Oxide-Sand-Paper-5-Sheets-Pack-9005NA/203783586" TargetMode="External" /><Relationship Type="http://schemas.openxmlformats.org/officeDocument/2006/relationships/hyperlink" Id="rId105" Target="https://www.homedepot.com/p/DEWALT-Ceramic-Rapid-Heat-Full-Size-Glue-Gun-DWHTGR50/204293086" TargetMode="External" /><Relationship Type="http://schemas.openxmlformats.org/officeDocument/2006/relationships/hyperlink" Id="rId93" Target="https://www.homedepot.com/p/Genova-Products-PVC-Schedule-40-Pressure-Pipe-1-1-2-in-x-10-ft-Plain-End-70011N/300282341" TargetMode="External" /><Relationship Type="http://schemas.openxmlformats.org/officeDocument/2006/relationships/hyperlink" Id="rId103" Target="https://www.homedepot.com/p/Husky-6-in-Hack-Saw-with-Comfort-Grip-Handle-122JHSC/204748808" TargetMode="External" /><Relationship Type="http://schemas.openxmlformats.org/officeDocument/2006/relationships/hyperlink" Id="rId95" Target="https://www.homedepot.com/p/Nibco-1-1-2-in-x-1-1-2-in-PVC-DWV-Trap-Adapter-C480127HD112114/100342402" TargetMode="External" /><Relationship Type="http://schemas.openxmlformats.org/officeDocument/2006/relationships/hyperlink" Id="rId136"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32" Target="https://www.nature.com/news/2005/050704/full/news050704-7.html" TargetMode="External" /><Relationship Type="http://schemas.openxmlformats.org/officeDocument/2006/relationships/hyperlink" Id="rId33" Target="https://www.ncdc.noaa.gov/cdo-web/" TargetMode="External" /><Relationship Type="http://schemas.openxmlformats.org/officeDocument/2006/relationships/hyperlink" Id="rId111"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2"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cp:keywords/>
  <dcterms:created xsi:type="dcterms:W3CDTF">2019-06-06T17:05:51Z</dcterms:created>
  <dcterms:modified xsi:type="dcterms:W3CDTF">2019-06-06T17:05:51Z</dcterms:modified>
</cp:coreProperties>
</file>