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1.png" ContentType="image/png"/>
  <Override PartName="/word/media/rId32.png" ContentType="image/png"/>
  <Override PartName="/word/media/rId33.png" ContentType="image/png"/>
  <Override PartName="/word/media/rId34.png" ContentType="image/png"/>
  <Override PartName="/word/media/rId22.jpg" ContentType="image/jpeg"/>
  <Override PartName="/word/media/rId41.jpg" ContentType="image/jpeg"/>
  <Override PartName="/word/media/rId4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2019-04-19</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
      <w:r>
        <w:t xml:space="preserve">Didgeridoo</w:t>
      </w:r>
      <w:bookmarkEnd w:id="23"/>
    </w:p>
    <w:p>
      <w:pPr>
        <w:pStyle w:val="Heading2"/>
      </w:pPr>
      <w:bookmarkStart w:id="24" w:name="overview"/>
      <w:r>
        <w:t xml:space="preserve">Overview</w:t>
      </w:r>
      <w:bookmarkEnd w:id="24"/>
    </w:p>
    <w:p>
      <w:pPr>
        <w:pStyle w:val="FirstParagraph"/>
      </w:pPr>
      <w:r>
        <w:t xml:space="preserve">The theme of 2019 MIT STEAM Camp is wind and perhaps an exploration of climate data and wind instruments can faithfully incorporate the theme as well as help inform the public about information to which they may not have been exposed. This chapter describes a bit about the didgeridoo, a wind instrument of great significance, and presents instruction for construction of a DIY version that can be created inexpensively and with a high degree of customization.</w:t>
      </w:r>
    </w:p>
    <w:p>
      <w:pPr>
        <w:pStyle w:val="Heading2"/>
      </w:pPr>
      <w:bookmarkStart w:id="25" w:name="history-and-significance"/>
      <w:r>
        <w:t xml:space="preserve">History and Significance</w:t>
      </w:r>
      <w:bookmarkEnd w:id="25"/>
    </w:p>
    <w:p>
      <w:pPr>
        <w:pStyle w:val="FirstParagraph"/>
      </w:pPr>
      <w:r>
        <w:t xml:space="preserve">The didgeridoo, or yidaki, is an ancient wind instrument believed to have originated among the indigenous people of northern Australia over 40,000 years ago</w:t>
      </w:r>
      <w:r>
        <w:t xml:space="preserve"> </w:t>
      </w:r>
      <w:r>
        <w:t xml:space="preserve">(Harris</w:t>
      </w:r>
      <w:r>
        <w:t xml:space="preserve"> </w:t>
      </w:r>
      <w:hyperlink w:anchor="ref-harris">
        <w:r>
          <w:rPr>
            <w:rStyle w:val="Hyperlink"/>
          </w:rPr>
          <w:t xml:space="preserve">2013</w:t>
        </w:r>
      </w:hyperlink>
      <w:r>
        <w:t xml:space="preserve">)</w:t>
      </w:r>
      <w:r>
        <w:t xml:space="preserve">. This instrument is traditionally used for cermonial functions and also for recreational and entertainment purposes. Ramin Yazdanpanah is a modern didgeridoo musician who plays with the</w:t>
      </w:r>
      <w:r>
        <w:t xml:space="preserve"> </w:t>
      </w:r>
      <w:hyperlink r:id="rId26">
        <w:r>
          <w:rPr>
            <w:rStyle w:val="Hyperlink"/>
          </w:rPr>
          <w:t xml:space="preserve">Maharajah Flamenco Trio</w:t>
        </w:r>
      </w:hyperlink>
      <w:r>
        <w:t xml:space="preserve">, a group that incorporates global sounds into their music.</w:t>
      </w:r>
    </w:p>
    <w:p>
      <w:pPr>
        <w:pStyle w:val="CaptionedFigure"/>
      </w:pPr>
      <w:r>
        <w:drawing>
          <wp:inline>
            <wp:extent cx="5334000" cy="3657901"/>
            <wp:effectExtent b="0" l="0" r="0" t="0"/>
            <wp:docPr descr="Figure 2 Ramin Yazdanpanah of the Maharajah Flamenco Trio from the official video for “Dariya.” Roughcut Productions, 2017." title="" id="1" name="Picture"/>
            <a:graphic>
              <a:graphicData uri="http://schemas.openxmlformats.org/drawingml/2006/picture">
                <pic:pic>
                  <pic:nvPicPr>
                    <pic:cNvPr descr="img/yaz.png" id="0" name="Picture"/>
                    <pic:cNvPicPr>
                      <a:picLocks noChangeArrowheads="1" noChangeAspect="1"/>
                    </pic:cNvPicPr>
                  </pic:nvPicPr>
                  <pic:blipFill>
                    <a:blip r:embed="rId27"/>
                    <a:stretch>
                      <a:fillRect/>
                    </a:stretch>
                  </pic:blipFill>
                  <pic:spPr bwMode="auto">
                    <a:xfrm>
                      <a:off x="0" y="0"/>
                      <a:ext cx="5334000" cy="3657901"/>
                    </a:xfrm>
                    <a:prstGeom prst="rect">
                      <a:avLst/>
                    </a:prstGeom>
                    <a:noFill/>
                    <a:ln w="9525">
                      <a:noFill/>
                      <a:headEnd/>
                      <a:tailEnd/>
                    </a:ln>
                  </pic:spPr>
                </pic:pic>
              </a:graphicData>
            </a:graphic>
          </wp:inline>
        </w:drawing>
      </w:r>
    </w:p>
    <w:p>
      <w:pPr>
        <w:pStyle w:val="ImageCaption"/>
      </w:pPr>
      <w:r>
        <w:t xml:space="preserve">Figure 2 Ramin Yazdanpanah of the Maharajah Flamenco Trio from the official video for</w:t>
      </w:r>
      <w:r>
        <w:t xml:space="preserve"> </w:t>
      </w:r>
      <w:r>
        <w:t xml:space="preserve">“</w:t>
      </w:r>
      <w:r>
        <w:t xml:space="preserve">Dariya.</w:t>
      </w:r>
      <w:r>
        <w:t xml:space="preserve">”</w:t>
      </w:r>
      <w:r>
        <w:t xml:space="preserve"> </w:t>
      </w:r>
      <w:r>
        <w:t xml:space="preserve">Roughcut Productions, 2017.</w:t>
      </w:r>
    </w:p>
    <w:p>
      <w:pPr>
        <w:pStyle w:val="Heading2"/>
      </w:pPr>
      <w:bookmarkStart w:id="28" w:name="science"/>
      <w:r>
        <w:t xml:space="preserve">Science</w:t>
      </w:r>
      <w:bookmarkEnd w:id="28"/>
    </w:p>
    <w:p>
      <w:pPr>
        <w:pStyle w:val="FirstParagraph"/>
      </w:pPr>
      <w:r>
        <w:t xml:space="preserve">Hopkin (</w:t>
      </w:r>
      <w:hyperlink w:anchor="ref-timbres">
        <w:r>
          <w:rPr>
            <w:rStyle w:val="Hyperlink"/>
          </w:rPr>
          <w:t xml:space="preserve">2005</w:t>
        </w:r>
      </w:hyperlink>
      <w:r>
        <w:t xml:space="preserve">)</w:t>
      </w:r>
      <w:r>
        <w:t xml:space="preserve"> </w:t>
      </w:r>
      <w:r>
        <w:t xml:space="preserve">sums up an article by</w:t>
      </w:r>
      <w:r>
        <w:t xml:space="preserve"> </w:t>
      </w:r>
      <w:r>
        <w:t xml:space="preserve">Tarnopolsky et al. (</w:t>
      </w:r>
      <w:hyperlink w:anchor="ref-tarnopolsky">
        <w:r>
          <w:rPr>
            <w:rStyle w:val="Hyperlink"/>
          </w:rPr>
          <w:t xml:space="preserve">2005</w:t>
        </w:r>
      </w:hyperlink>
      <w:r>
        <w:t xml:space="preserve">)</w:t>
      </w:r>
      <w:r>
        <w:t xml:space="preserve"> </w:t>
      </w:r>
      <w:r>
        <w:t xml:space="preserve">and notes that skilled didgeridoo musicians can adjust their throat anatomy to produce a very wide range of</w:t>
      </w:r>
      <w:r>
        <w:t xml:space="preserve"> </w:t>
      </w:r>
      <w:hyperlink r:id="rId29">
        <w:r>
          <w:rPr>
            <w:rStyle w:val="Hyperlink"/>
          </w:rPr>
          <w:t xml:space="preserve">timbres</w:t>
        </w:r>
      </w:hyperlink>
      <w:r>
        <w:t xml:space="preserve">.</w:t>
      </w:r>
      <w:r>
        <w:t xml:space="preserve"> </w:t>
      </w:r>
      <w:r>
        <w:t xml:space="preserve">Fletcher (</w:t>
      </w:r>
      <w:hyperlink w:anchor="ref-fletcher">
        <w:r>
          <w:rPr>
            <w:rStyle w:val="Hyperlink"/>
          </w:rPr>
          <w:t xml:space="preserve">1996</w:t>
        </w:r>
      </w:hyperlink>
      <w:r>
        <w:t xml:space="preserve">)</w:t>
      </w:r>
      <w:r>
        <w:t xml:space="preserve"> </w:t>
      </w:r>
      <w:r>
        <w:t xml:space="preserve">provides a summary of the physics of this simple instrument.</w:t>
      </w:r>
    </w:p>
    <w:p>
      <w:pPr>
        <w:pStyle w:val="Heading2"/>
      </w:pPr>
      <w:bookmarkStart w:id="30" w:name="construction"/>
      <w:r>
        <w:t xml:space="preserve">Construction</w:t>
      </w:r>
      <w:bookmarkEnd w:id="30"/>
    </w:p>
    <w:p>
      <w:pPr>
        <w:pStyle w:val="FirstParagraph"/>
      </w:pPr>
      <w:r>
        <w:t xml:space="preserve">The didgeridoo will be constructed from three PVC components seen in Figure</w:t>
      </w:r>
      <w:r>
        <w:t xml:space="preserve"> </w:t>
      </w:r>
      <w:r>
        <w:t xml:space="preserve">3</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3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31"/>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3 PVC didgeridoo construction</w:t>
      </w:r>
    </w:p>
    <w:p>
      <w:pPr>
        <w:pStyle w:val="BodyText"/>
      </w:pPr>
      <w:r>
        <w:t xml:space="preserve">To begin, join the reducing coupling (A) to the pipe (B).</w:t>
      </w:r>
      <w:r>
        <w:t xml:space="preserve"> </w:t>
      </w:r>
      <w:r>
        <w:drawing>
          <wp:inline>
            <wp:extent cx="5334000" cy="3617748"/>
            <wp:effectExtent b="0" l="0" r="0" t="0"/>
            <wp:docPr descr="Figure 4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32"/>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5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33"/>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6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34"/>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5" w:name="standard-form"/>
      <w:r>
        <w:t xml:space="preserve">Standard Form</w:t>
      </w:r>
      <w:bookmarkEnd w:id="35"/>
    </w:p>
    <w:p>
      <w:pPr>
        <w:pStyle w:val="FirstParagraph"/>
      </w:pPr>
      <w:r>
        <w:t xml:space="preserve">While traditional hollow-branch didgeridoos are generally straight, the PVC didgeridoo can be created in many forms. The standard straight form is the simplest design with a single length of pipe connecting the mouthpiece to the flared bell (our reducing coupling) at the opposite end.</w:t>
      </w:r>
    </w:p>
    <w:p>
      <w:pPr>
        <w:pStyle w:val="CaptionedFigure"/>
      </w:pPr>
      <w:r>
        <w:drawing>
          <wp:inline>
            <wp:extent cx="5334000" cy="499903"/>
            <wp:effectExtent b="0" l="0" r="0" t="0"/>
            <wp:docPr descr="Figure 7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6"/>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7" w:name="alternative-forms"/>
      <w:r>
        <w:t xml:space="preserve">Alternative Forms</w:t>
      </w:r>
      <w:bookmarkEnd w:id="37"/>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 What new form can you create?</w:t>
      </w:r>
    </w:p>
    <w:p>
      <w:pPr>
        <w:pStyle w:val="CaptionedFigure"/>
      </w:pPr>
      <w:r>
        <w:drawing>
          <wp:inline>
            <wp:extent cx="5334000" cy="4123477"/>
            <wp:effectExtent b="0" l="0" r="0" t="0"/>
            <wp:docPr descr="Figure 8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8"/>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8 PVC didgeridoo; standard form</w:t>
      </w:r>
    </w:p>
    <w:p>
      <w:pPr>
        <w:pStyle w:val="Heading2"/>
      </w:pPr>
      <w:bookmarkStart w:id="39" w:name="tuning"/>
      <w:r>
        <w:t xml:space="preserve">Tuning</w:t>
      </w:r>
      <w:bookmarkEnd w:id="39"/>
    </w:p>
    <w:p>
      <w:pPr>
        <w:pStyle w:val="FirstParagraph"/>
      </w:pPr>
      <w:r>
        <w:t xml:space="preserve">According to</w:t>
      </w:r>
      <w:r>
        <w:t xml:space="preserve"> </w:t>
      </w:r>
      <w:r>
        <w:t xml:space="preserve">Didjshop (</w:t>
      </w:r>
      <w:hyperlink w:anchor="ref-tuning">
        <w:r>
          <w:rPr>
            <w:rStyle w:val="Hyperlink"/>
          </w:rPr>
          <w:t xml:space="preserve">2016</w:t>
        </w:r>
      </w:hyperlink>
      <w:r>
        <w:t xml:space="preserve">)</w:t>
      </w:r>
      <w:r>
        <w:t xml:space="preserve">, the length of a didgeridoo for a particular desired frequency (also called the</w:t>
      </w:r>
      <w:r>
        <w:t xml:space="preserve"> </w:t>
      </w:r>
      <w:r>
        <w:t xml:space="preserve">“</w:t>
      </w:r>
      <w:r>
        <w:t xml:space="preserve">key</w:t>
      </w:r>
      <w:r>
        <w:t xml:space="preserve">”</w:t>
      </w:r>
      <w:r>
        <w:t xml:space="preserve"> </w:t>
      </w:r>
      <w:r>
        <w:t xml:space="preserve">of the didgeridoo) can be found using the formula</w:t>
      </w:r>
      <w:r>
        <w:t xml:space="preserve"> </w:t>
      </w:r>
      <m:oMath>
        <m:r>
          <m:t>l</m:t>
        </m:r>
        <m:r>
          <m:t>=</m:t>
        </m:r>
        <m:r>
          <m:t>c</m:t>
        </m:r>
        <m:r>
          <m:t>/</m:t>
        </m:r>
        <m:r>
          <m:t>4</m:t>
        </m:r>
        <m:r>
          <m:t>f</m:t>
        </m:r>
      </m:oMath>
      <w:r>
        <w:t xml:space="preserve"> </w:t>
      </w:r>
      <w:r>
        <w:t xml:space="preserve">where</w:t>
      </w:r>
      <w:r>
        <w:t xml:space="preserve"> </w:t>
      </w:r>
      <m:oMath>
        <m:r>
          <m:t>l</m:t>
        </m:r>
      </m:oMath>
      <w:r>
        <w:t xml:space="preserve"> </w:t>
      </w:r>
      <w:r>
        <w:t xml:space="preserve">is the length in meters,</w:t>
      </w:r>
      <w:r>
        <w:t xml:space="preserve"> </w:t>
      </w:r>
      <m:oMath>
        <m:r>
          <m:t>c</m:t>
        </m:r>
      </m:oMath>
      <w:r>
        <w:t xml:space="preserve"> </w:t>
      </w:r>
      <w:r>
        <w:t xml:space="preserve">is the speed of sound in meters per second, and</w:t>
      </w:r>
      <w:r>
        <w:t xml:space="preserve"> </w:t>
      </w:r>
      <m:oMath>
        <m:r>
          <m:t>f</m:t>
        </m:r>
      </m:oMath>
      <w:r>
        <w:t xml:space="preserve"> </w:t>
      </w:r>
      <w:r>
        <w:t xml:space="preserve">is the desired frequency in Hertz (or key). We’ll do our calculations using the metric system so, as an example, let’s find the length of a didgeridoo that will play in the key of E (82.41Hz). We can do this by solving for the equation</w:t>
      </w:r>
      <w:r>
        <w:t xml:space="preserve"> </w:t>
      </w:r>
      <m:oMath>
        <m:r>
          <m:t>l</m:t>
        </m:r>
        <m:r>
          <m:t>=</m:t>
        </m:r>
        <m:r>
          <m:t>344</m:t>
        </m:r>
        <m:r>
          <m:t>/</m:t>
        </m:r>
        <m:r>
          <m:t>(</m:t>
        </m:r>
        <m:r>
          <m:t>4</m:t>
        </m:r>
        <m:r>
          <m:t>*</m:t>
        </m:r>
        <m:r>
          <m:t>82.41</m:t>
        </m:r>
        <m:r>
          <m:t>)</m:t>
        </m:r>
      </m:oMath>
      <w:r>
        <w:t xml:space="preserve">. We use 344 m/s because that is the speed of sound in dry air at a temperature of 20 degrees C. Solving this gives us a didgeridoo length of</w:t>
      </w:r>
      <w:r>
        <w:t xml:space="preserve"> </w:t>
      </w:r>
      <m:oMath>
        <m:r>
          <m:t>344</m:t>
        </m:r>
        <m:r>
          <m:t>/</m:t>
        </m:r>
        <m:r>
          <m:t>329.64</m:t>
        </m:r>
      </m:oMath>
      <w:r>
        <w:t xml:space="preserve"> </w:t>
      </w:r>
      <w:r>
        <w:t xml:space="preserve">or about 1.04 meters. It’s good practice to start with a didgeridoo that is longer than needed and then you can cut and sand the PVC pipe to the desired length and key. See below for a data table of keys, frequencies (Hz), and estimated pipe lengths (mm). To estimate the key for a didgeridoo of a known length, solve the formula for</w:t>
      </w:r>
      <w:r>
        <w:t xml:space="preserve"> </w:t>
      </w:r>
      <m:oMath>
        <m:r>
          <m:t>f</m:t>
        </m:r>
      </m:oMath>
      <w:r>
        <w:t xml:space="preserve"> </w:t>
      </w:r>
      <w:r>
        <w:t xml:space="preserve">instead to get</w:t>
      </w:r>
      <w:r>
        <w:t xml:space="preserve"> </w:t>
      </w:r>
      <m:oMath>
        <m:r>
          <m:t>f</m:t>
        </m:r>
        <m:r>
          <m:t>=</m:t>
        </m:r>
        <m:r>
          <m:t>c</m:t>
        </m:r>
        <m:r>
          <m:t>/</m:t>
        </m:r>
        <m:r>
          <m:t>4</m:t>
        </m:r>
        <m:r>
          <m:t>l</m:t>
        </m:r>
      </m:oMath>
      <w:r>
        <w:t xml:space="preserve"> </w:t>
      </w:r>
      <w:r>
        <w:t xml:space="preserve">where</w:t>
      </w:r>
      <w:r>
        <w:t xml:space="preserve"> </w:t>
      </w:r>
      <m:oMath>
        <m:r>
          <m:t>l</m:t>
        </m:r>
      </m:oMath>
      <w:r>
        <w:t xml:space="preserve"> </w:t>
      </w:r>
      <w:r>
        <w:t xml:space="preserve">is again the length of the didgeridoo in meters.</w:t>
      </w:r>
    </w:p>
    <w:p>
      <w:pPr>
        <w:pStyle w:val="TableCaption"/>
      </w:pPr>
      <w:r>
        <w:t xml:space="preserve">Table 1 Musical key, frequency, and estimated didgeridoo length.</w:t>
      </w:r>
    </w:p>
    <w:tbl>
      <w:tblPr>
        <w:tblStyle w:val="Table"/>
        <w:tblW w:type="pct" w:w="0.0"/>
        <w:tblLook w:firstRow="1"/>
        <w:tblCaption w:val="Table 1 Musical key, frequency, and estimated didgeridoo length."/>
      </w:tblPr>
      <w:tblGrid/>
      <w:tr>
        <w:trPr>
          <w:cnfStyle w:firstRow="1"/>
        </w:trPr>
        <w:tc>
          <w:tcPr>
            <w:tcBorders>
              <w:bottom w:val="single"/>
            </w:tcBorders>
            <w:vAlign w:val="bottom"/>
          </w:tcPr>
          <w:p>
            <w:pPr>
              <w:pStyle w:val="Compact"/>
              <w:jc w:val="left"/>
            </w:pPr>
            <w:r>
              <w:t xml:space="preserve">Key</w:t>
            </w:r>
          </w:p>
        </w:tc>
        <w:tc>
          <w:tcPr>
            <w:tcBorders>
              <w:bottom w:val="single"/>
            </w:tcBorders>
            <w:vAlign w:val="bottom"/>
          </w:tcPr>
          <w:p>
            <w:pPr>
              <w:pStyle w:val="Compact"/>
              <w:jc w:val="right"/>
            </w:pPr>
            <w:r>
              <w:t xml:space="preserve">Frequency (Hz)</w:t>
            </w:r>
          </w:p>
        </w:tc>
        <w:tc>
          <w:tcPr>
            <w:tcBorders>
              <w:bottom w:val="single"/>
            </w:tcBorders>
            <w:vAlign w:val="bottom"/>
          </w:tcPr>
          <w:p>
            <w:pPr>
              <w:pStyle w:val="Compact"/>
              <w:jc w:val="right"/>
            </w:pPr>
            <w:r>
              <w:t xml:space="preserve">Length (mm)</w:t>
            </w:r>
          </w:p>
        </w:tc>
      </w:tr>
      <w:tr>
        <w:tc>
          <w:p>
            <w:pPr>
              <w:pStyle w:val="Compact"/>
              <w:jc w:val="left"/>
            </w:pPr>
            <w:r>
              <w:t xml:space="preserve">C</w:t>
            </w:r>
          </w:p>
        </w:tc>
        <w:tc>
          <w:p>
            <w:pPr>
              <w:pStyle w:val="Compact"/>
              <w:jc w:val="right"/>
            </w:pPr>
            <w:r>
              <w:t xml:space="preserve">32.70</w:t>
            </w:r>
          </w:p>
        </w:tc>
        <w:tc>
          <w:p>
            <w:pPr>
              <w:pStyle w:val="Compact"/>
              <w:jc w:val="right"/>
            </w:pPr>
            <w:r>
              <w:t xml:space="preserve">2630</w:t>
            </w:r>
          </w:p>
        </w:tc>
      </w:tr>
      <w:tr>
        <w:tc>
          <w:p>
            <w:pPr>
              <w:pStyle w:val="Compact"/>
              <w:jc w:val="left"/>
            </w:pPr>
            <w:r>
              <w:t xml:space="preserve">C#</w:t>
            </w:r>
          </w:p>
        </w:tc>
        <w:tc>
          <w:p>
            <w:pPr>
              <w:pStyle w:val="Compact"/>
              <w:jc w:val="right"/>
            </w:pPr>
            <w:r>
              <w:t xml:space="preserve">34.65</w:t>
            </w:r>
          </w:p>
        </w:tc>
        <w:tc>
          <w:p>
            <w:pPr>
              <w:pStyle w:val="Compact"/>
              <w:jc w:val="right"/>
            </w:pPr>
            <w:r>
              <w:t xml:space="preserve">2482</w:t>
            </w:r>
          </w:p>
        </w:tc>
      </w:tr>
      <w:tr>
        <w:tc>
          <w:p>
            <w:pPr>
              <w:pStyle w:val="Compact"/>
              <w:jc w:val="left"/>
            </w:pPr>
            <w:r>
              <w:t xml:space="preserve">D</w:t>
            </w:r>
          </w:p>
        </w:tc>
        <w:tc>
          <w:p>
            <w:pPr>
              <w:pStyle w:val="Compact"/>
              <w:jc w:val="right"/>
            </w:pPr>
            <w:r>
              <w:t xml:space="preserve">36.71</w:t>
            </w:r>
          </w:p>
        </w:tc>
        <w:tc>
          <w:p>
            <w:pPr>
              <w:pStyle w:val="Compact"/>
              <w:jc w:val="right"/>
            </w:pPr>
            <w:r>
              <w:t xml:space="preserve">2342</w:t>
            </w:r>
          </w:p>
        </w:tc>
      </w:tr>
      <w:tr>
        <w:tc>
          <w:p>
            <w:pPr>
              <w:pStyle w:val="Compact"/>
              <w:jc w:val="left"/>
            </w:pPr>
            <w:r>
              <w:t xml:space="preserve">D#</w:t>
            </w:r>
          </w:p>
        </w:tc>
        <w:tc>
          <w:p>
            <w:pPr>
              <w:pStyle w:val="Compact"/>
              <w:jc w:val="right"/>
            </w:pPr>
            <w:r>
              <w:t xml:space="preserve">38.89</w:t>
            </w:r>
          </w:p>
        </w:tc>
        <w:tc>
          <w:p>
            <w:pPr>
              <w:pStyle w:val="Compact"/>
              <w:jc w:val="right"/>
            </w:pPr>
            <w:r>
              <w:t xml:space="preserve">2211</w:t>
            </w:r>
          </w:p>
        </w:tc>
      </w:tr>
      <w:tr>
        <w:tc>
          <w:p>
            <w:pPr>
              <w:pStyle w:val="Compact"/>
              <w:jc w:val="left"/>
            </w:pPr>
            <w:r>
              <w:t xml:space="preserve">E</w:t>
            </w:r>
          </w:p>
        </w:tc>
        <w:tc>
          <w:p>
            <w:pPr>
              <w:pStyle w:val="Compact"/>
              <w:jc w:val="right"/>
            </w:pPr>
            <w:r>
              <w:t xml:space="preserve">41.20</w:t>
            </w:r>
          </w:p>
        </w:tc>
        <w:tc>
          <w:p>
            <w:pPr>
              <w:pStyle w:val="Compact"/>
              <w:jc w:val="right"/>
            </w:pPr>
            <w:r>
              <w:t xml:space="preserve">2087</w:t>
            </w:r>
          </w:p>
        </w:tc>
      </w:tr>
      <w:tr>
        <w:tc>
          <w:p>
            <w:pPr>
              <w:pStyle w:val="Compact"/>
              <w:jc w:val="left"/>
            </w:pPr>
            <w:r>
              <w:t xml:space="preserve">F</w:t>
            </w:r>
          </w:p>
        </w:tc>
        <w:tc>
          <w:p>
            <w:pPr>
              <w:pStyle w:val="Compact"/>
              <w:jc w:val="right"/>
            </w:pPr>
            <w:r>
              <w:t xml:space="preserve">43.66</w:t>
            </w:r>
          </w:p>
        </w:tc>
        <w:tc>
          <w:p>
            <w:pPr>
              <w:pStyle w:val="Compact"/>
              <w:jc w:val="right"/>
            </w:pPr>
            <w:r>
              <w:t xml:space="preserve">1970</w:t>
            </w:r>
          </w:p>
        </w:tc>
      </w:tr>
      <w:tr>
        <w:tc>
          <w:p>
            <w:pPr>
              <w:pStyle w:val="Compact"/>
              <w:jc w:val="left"/>
            </w:pPr>
            <w:r>
              <w:t xml:space="preserve">F#</w:t>
            </w:r>
          </w:p>
        </w:tc>
        <w:tc>
          <w:p>
            <w:pPr>
              <w:pStyle w:val="Compact"/>
              <w:jc w:val="right"/>
            </w:pPr>
            <w:r>
              <w:t xml:space="preserve">46.25</w:t>
            </w:r>
          </w:p>
        </w:tc>
        <w:tc>
          <w:p>
            <w:pPr>
              <w:pStyle w:val="Compact"/>
              <w:jc w:val="right"/>
            </w:pPr>
            <w:r>
              <w:t xml:space="preserve">1859</w:t>
            </w:r>
          </w:p>
        </w:tc>
      </w:tr>
      <w:tr>
        <w:tc>
          <w:p>
            <w:pPr>
              <w:pStyle w:val="Compact"/>
              <w:jc w:val="left"/>
            </w:pPr>
            <w:r>
              <w:t xml:space="preserve">G</w:t>
            </w:r>
          </w:p>
        </w:tc>
        <w:tc>
          <w:p>
            <w:pPr>
              <w:pStyle w:val="Compact"/>
              <w:jc w:val="right"/>
            </w:pPr>
            <w:r>
              <w:t xml:space="preserve">49.00</w:t>
            </w:r>
          </w:p>
        </w:tc>
        <w:tc>
          <w:p>
            <w:pPr>
              <w:pStyle w:val="Compact"/>
              <w:jc w:val="right"/>
            </w:pPr>
            <w:r>
              <w:t xml:space="preserve">1755</w:t>
            </w:r>
          </w:p>
        </w:tc>
      </w:tr>
      <w:tr>
        <w:tc>
          <w:p>
            <w:pPr>
              <w:pStyle w:val="Compact"/>
              <w:jc w:val="left"/>
            </w:pPr>
            <w:r>
              <w:t xml:space="preserve">G#</w:t>
            </w:r>
          </w:p>
        </w:tc>
        <w:tc>
          <w:p>
            <w:pPr>
              <w:pStyle w:val="Compact"/>
              <w:jc w:val="right"/>
            </w:pPr>
            <w:r>
              <w:t xml:space="preserve">51.91</w:t>
            </w:r>
          </w:p>
        </w:tc>
        <w:tc>
          <w:p>
            <w:pPr>
              <w:pStyle w:val="Compact"/>
              <w:jc w:val="right"/>
            </w:pPr>
            <w:r>
              <w:t xml:space="preserve">1657</w:t>
            </w:r>
          </w:p>
        </w:tc>
      </w:tr>
      <w:tr>
        <w:tc>
          <w:p>
            <w:pPr>
              <w:pStyle w:val="Compact"/>
              <w:jc w:val="left"/>
            </w:pPr>
            <w:r>
              <w:t xml:space="preserve">A</w:t>
            </w:r>
          </w:p>
        </w:tc>
        <w:tc>
          <w:p>
            <w:pPr>
              <w:pStyle w:val="Compact"/>
              <w:jc w:val="right"/>
            </w:pPr>
            <w:r>
              <w:t xml:space="preserve">55.00</w:t>
            </w:r>
          </w:p>
        </w:tc>
        <w:tc>
          <w:p>
            <w:pPr>
              <w:pStyle w:val="Compact"/>
              <w:jc w:val="right"/>
            </w:pPr>
            <w:r>
              <w:t xml:space="preserve">1564</w:t>
            </w:r>
          </w:p>
        </w:tc>
      </w:tr>
      <w:tr>
        <w:tc>
          <w:p>
            <w:pPr>
              <w:pStyle w:val="Compact"/>
              <w:jc w:val="left"/>
            </w:pPr>
            <w:r>
              <w:t xml:space="preserve">A#</w:t>
            </w:r>
          </w:p>
        </w:tc>
        <w:tc>
          <w:p>
            <w:pPr>
              <w:pStyle w:val="Compact"/>
              <w:jc w:val="right"/>
            </w:pPr>
            <w:r>
              <w:t xml:space="preserve">58.27</w:t>
            </w:r>
          </w:p>
        </w:tc>
        <w:tc>
          <w:p>
            <w:pPr>
              <w:pStyle w:val="Compact"/>
              <w:jc w:val="right"/>
            </w:pPr>
            <w:r>
              <w:t xml:space="preserve">1475</w:t>
            </w:r>
          </w:p>
        </w:tc>
      </w:tr>
      <w:tr>
        <w:tc>
          <w:p>
            <w:pPr>
              <w:pStyle w:val="Compact"/>
              <w:jc w:val="left"/>
            </w:pPr>
            <w:r>
              <w:t xml:space="preserve">B</w:t>
            </w:r>
          </w:p>
        </w:tc>
        <w:tc>
          <w:p>
            <w:pPr>
              <w:pStyle w:val="Compact"/>
              <w:jc w:val="right"/>
            </w:pPr>
            <w:r>
              <w:t xml:space="preserve">61.74</w:t>
            </w:r>
          </w:p>
        </w:tc>
        <w:tc>
          <w:p>
            <w:pPr>
              <w:pStyle w:val="Compact"/>
              <w:jc w:val="right"/>
            </w:pPr>
            <w:r>
              <w:t xml:space="preserve">1393</w:t>
            </w:r>
          </w:p>
        </w:tc>
      </w:tr>
      <w:tr>
        <w:tc>
          <w:p>
            <w:pPr>
              <w:pStyle w:val="Compact"/>
              <w:jc w:val="left"/>
            </w:pPr>
            <w:r>
              <w:t xml:space="preserve">C</w:t>
            </w:r>
          </w:p>
        </w:tc>
        <w:tc>
          <w:p>
            <w:pPr>
              <w:pStyle w:val="Compact"/>
              <w:jc w:val="right"/>
            </w:pPr>
            <w:r>
              <w:t xml:space="preserve">65.40</w:t>
            </w:r>
          </w:p>
        </w:tc>
        <w:tc>
          <w:p>
            <w:pPr>
              <w:pStyle w:val="Compact"/>
              <w:jc w:val="right"/>
            </w:pPr>
            <w:r>
              <w:t xml:space="preserve">1315</w:t>
            </w:r>
          </w:p>
        </w:tc>
      </w:tr>
      <w:tr>
        <w:tc>
          <w:p>
            <w:pPr>
              <w:pStyle w:val="Compact"/>
              <w:jc w:val="left"/>
            </w:pPr>
            <w:r>
              <w:t xml:space="preserve">C#</w:t>
            </w:r>
          </w:p>
        </w:tc>
        <w:tc>
          <w:p>
            <w:pPr>
              <w:pStyle w:val="Compact"/>
              <w:jc w:val="right"/>
            </w:pPr>
            <w:r>
              <w:t xml:space="preserve">69.30</w:t>
            </w:r>
          </w:p>
        </w:tc>
        <w:tc>
          <w:p>
            <w:pPr>
              <w:pStyle w:val="Compact"/>
              <w:jc w:val="right"/>
            </w:pPr>
            <w:r>
              <w:t xml:space="preserve">1241</w:t>
            </w:r>
          </w:p>
        </w:tc>
      </w:tr>
      <w:tr>
        <w:tc>
          <w:p>
            <w:pPr>
              <w:pStyle w:val="Compact"/>
              <w:jc w:val="left"/>
            </w:pPr>
            <w:r>
              <w:t xml:space="preserve">D</w:t>
            </w:r>
          </w:p>
        </w:tc>
        <w:tc>
          <w:p>
            <w:pPr>
              <w:pStyle w:val="Compact"/>
              <w:jc w:val="right"/>
            </w:pPr>
            <w:r>
              <w:t xml:space="preserve">73.42</w:t>
            </w:r>
          </w:p>
        </w:tc>
        <w:tc>
          <w:p>
            <w:pPr>
              <w:pStyle w:val="Compact"/>
              <w:jc w:val="right"/>
            </w:pPr>
            <w:r>
              <w:t xml:space="preserve">1171</w:t>
            </w:r>
          </w:p>
        </w:tc>
      </w:tr>
      <w:tr>
        <w:tc>
          <w:p>
            <w:pPr>
              <w:pStyle w:val="Compact"/>
              <w:jc w:val="left"/>
            </w:pPr>
            <w:r>
              <w:t xml:space="preserve">D#</w:t>
            </w:r>
          </w:p>
        </w:tc>
        <w:tc>
          <w:p>
            <w:pPr>
              <w:pStyle w:val="Compact"/>
              <w:jc w:val="right"/>
            </w:pPr>
            <w:r>
              <w:t xml:space="preserve">77.78</w:t>
            </w:r>
          </w:p>
        </w:tc>
        <w:tc>
          <w:p>
            <w:pPr>
              <w:pStyle w:val="Compact"/>
              <w:jc w:val="right"/>
            </w:pPr>
            <w:r>
              <w:t xml:space="preserve">1106</w:t>
            </w:r>
          </w:p>
        </w:tc>
      </w:tr>
      <w:tr>
        <w:tc>
          <w:p>
            <w:pPr>
              <w:pStyle w:val="Compact"/>
              <w:jc w:val="left"/>
            </w:pPr>
            <w:r>
              <w:t xml:space="preserve">E</w:t>
            </w:r>
          </w:p>
        </w:tc>
        <w:tc>
          <w:p>
            <w:pPr>
              <w:pStyle w:val="Compact"/>
              <w:jc w:val="right"/>
            </w:pPr>
            <w:r>
              <w:t xml:space="preserve">82.41</w:t>
            </w:r>
          </w:p>
        </w:tc>
        <w:tc>
          <w:p>
            <w:pPr>
              <w:pStyle w:val="Compact"/>
              <w:jc w:val="right"/>
            </w:pPr>
            <w:r>
              <w:t xml:space="preserve">1044</w:t>
            </w:r>
          </w:p>
        </w:tc>
      </w:tr>
      <w:tr>
        <w:tc>
          <w:p>
            <w:pPr>
              <w:pStyle w:val="Compact"/>
              <w:jc w:val="left"/>
            </w:pPr>
            <w:r>
              <w:t xml:space="preserve">F</w:t>
            </w:r>
          </w:p>
        </w:tc>
        <w:tc>
          <w:p>
            <w:pPr>
              <w:pStyle w:val="Compact"/>
              <w:jc w:val="right"/>
            </w:pPr>
            <w:r>
              <w:t xml:space="preserve">87.31</w:t>
            </w:r>
          </w:p>
        </w:tc>
        <w:tc>
          <w:p>
            <w:pPr>
              <w:pStyle w:val="Compact"/>
              <w:jc w:val="right"/>
            </w:pPr>
            <w:r>
              <w:t xml:space="preserve">985</w:t>
            </w:r>
          </w:p>
        </w:tc>
      </w:tr>
      <w:tr>
        <w:tc>
          <w:p>
            <w:pPr>
              <w:pStyle w:val="Compact"/>
              <w:jc w:val="left"/>
            </w:pPr>
            <w:r>
              <w:t xml:space="preserve">F#</w:t>
            </w:r>
          </w:p>
        </w:tc>
        <w:tc>
          <w:p>
            <w:pPr>
              <w:pStyle w:val="Compact"/>
              <w:jc w:val="right"/>
            </w:pPr>
            <w:r>
              <w:t xml:space="preserve">92.50</w:t>
            </w:r>
          </w:p>
        </w:tc>
        <w:tc>
          <w:p>
            <w:pPr>
              <w:pStyle w:val="Compact"/>
              <w:jc w:val="right"/>
            </w:pPr>
            <w:r>
              <w:t xml:space="preserve">930</w:t>
            </w:r>
          </w:p>
        </w:tc>
      </w:tr>
      <w:tr>
        <w:tc>
          <w:p>
            <w:pPr>
              <w:pStyle w:val="Compact"/>
              <w:jc w:val="left"/>
            </w:pPr>
            <w:r>
              <w:t xml:space="preserve">G</w:t>
            </w:r>
          </w:p>
        </w:tc>
        <w:tc>
          <w:p>
            <w:pPr>
              <w:pStyle w:val="Compact"/>
              <w:jc w:val="right"/>
            </w:pPr>
            <w:r>
              <w:t xml:space="preserve">98.00</w:t>
            </w:r>
          </w:p>
        </w:tc>
        <w:tc>
          <w:p>
            <w:pPr>
              <w:pStyle w:val="Compact"/>
              <w:jc w:val="right"/>
            </w:pPr>
            <w:r>
              <w:t xml:space="preserve">878</w:t>
            </w:r>
          </w:p>
        </w:tc>
      </w:tr>
      <w:tr>
        <w:tc>
          <w:p>
            <w:pPr>
              <w:pStyle w:val="Compact"/>
              <w:jc w:val="left"/>
            </w:pPr>
            <w:r>
              <w:t xml:space="preserve">G#</w:t>
            </w:r>
          </w:p>
        </w:tc>
        <w:tc>
          <w:p>
            <w:pPr>
              <w:pStyle w:val="Compact"/>
              <w:jc w:val="right"/>
            </w:pPr>
            <w:r>
              <w:t xml:space="preserve">103.82</w:t>
            </w:r>
          </w:p>
        </w:tc>
        <w:tc>
          <w:p>
            <w:pPr>
              <w:pStyle w:val="Compact"/>
              <w:jc w:val="right"/>
            </w:pPr>
            <w:r>
              <w:t xml:space="preserve">828</w:t>
            </w:r>
          </w:p>
        </w:tc>
      </w:tr>
      <w:tr>
        <w:tc>
          <w:p>
            <w:pPr>
              <w:pStyle w:val="Compact"/>
              <w:jc w:val="left"/>
            </w:pPr>
            <w:r>
              <w:t xml:space="preserve">A</w:t>
            </w:r>
          </w:p>
        </w:tc>
        <w:tc>
          <w:p>
            <w:pPr>
              <w:pStyle w:val="Compact"/>
              <w:jc w:val="right"/>
            </w:pPr>
            <w:r>
              <w:t xml:space="preserve">110.00</w:t>
            </w:r>
          </w:p>
        </w:tc>
        <w:tc>
          <w:p>
            <w:pPr>
              <w:pStyle w:val="Compact"/>
              <w:jc w:val="right"/>
            </w:pPr>
            <w:r>
              <w:t xml:space="preserve">782</w:t>
            </w:r>
          </w:p>
        </w:tc>
      </w:tr>
      <w:tr>
        <w:tc>
          <w:p>
            <w:pPr>
              <w:pStyle w:val="Compact"/>
              <w:jc w:val="left"/>
            </w:pPr>
            <w:r>
              <w:t xml:space="preserve">A#</w:t>
            </w:r>
          </w:p>
        </w:tc>
        <w:tc>
          <w:p>
            <w:pPr>
              <w:pStyle w:val="Compact"/>
              <w:jc w:val="right"/>
            </w:pPr>
            <w:r>
              <w:t xml:space="preserve">116.54</w:t>
            </w:r>
          </w:p>
        </w:tc>
        <w:tc>
          <w:p>
            <w:pPr>
              <w:pStyle w:val="Compact"/>
              <w:jc w:val="right"/>
            </w:pPr>
            <w:r>
              <w:t xml:space="preserve">771</w:t>
            </w:r>
          </w:p>
        </w:tc>
      </w:tr>
      <w:tr>
        <w:tc>
          <w:p>
            <w:pPr>
              <w:pStyle w:val="Compact"/>
              <w:jc w:val="left"/>
            </w:pPr>
            <w:r>
              <w:t xml:space="preserve">B</w:t>
            </w:r>
          </w:p>
        </w:tc>
        <w:tc>
          <w:p>
            <w:pPr>
              <w:pStyle w:val="Compact"/>
              <w:jc w:val="right"/>
            </w:pPr>
            <w:r>
              <w:t xml:space="preserve">123.47</w:t>
            </w:r>
          </w:p>
        </w:tc>
        <w:tc>
          <w:p>
            <w:pPr>
              <w:pStyle w:val="Compact"/>
              <w:jc w:val="right"/>
            </w:pPr>
            <w:r>
              <w:t xml:space="preserve">696</w:t>
            </w:r>
          </w:p>
        </w:tc>
      </w:tr>
      <w:tr>
        <w:tc>
          <w:p>
            <w:pPr>
              <w:pStyle w:val="Compact"/>
              <w:jc w:val="left"/>
            </w:pPr>
            <w:r>
              <w:t xml:space="preserve">C</w:t>
            </w:r>
          </w:p>
        </w:tc>
        <w:tc>
          <w:p>
            <w:pPr>
              <w:pStyle w:val="Compact"/>
              <w:jc w:val="right"/>
            </w:pPr>
            <w:r>
              <w:t xml:space="preserve">130.81</w:t>
            </w:r>
          </w:p>
        </w:tc>
        <w:tc>
          <w:p>
            <w:pPr>
              <w:pStyle w:val="Compact"/>
              <w:jc w:val="right"/>
            </w:pPr>
            <w:r>
              <w:t xml:space="preserve">657</w:t>
            </w:r>
          </w:p>
        </w:tc>
      </w:tr>
      <w:tr>
        <w:tc>
          <w:p>
            <w:pPr>
              <w:pStyle w:val="Compact"/>
              <w:jc w:val="left"/>
            </w:pPr>
            <w:r>
              <w:t xml:space="preserve">C#</w:t>
            </w:r>
          </w:p>
        </w:tc>
        <w:tc>
          <w:p>
            <w:pPr>
              <w:pStyle w:val="Compact"/>
              <w:jc w:val="right"/>
            </w:pPr>
            <w:r>
              <w:t xml:space="preserve">138.59</w:t>
            </w:r>
          </w:p>
        </w:tc>
        <w:tc>
          <w:p>
            <w:pPr>
              <w:pStyle w:val="Compact"/>
              <w:jc w:val="right"/>
            </w:pPr>
            <w:r>
              <w:t xml:space="preserve">620</w:t>
            </w:r>
          </w:p>
        </w:tc>
      </w:tr>
      <w:tr>
        <w:tc>
          <w:p>
            <w:pPr>
              <w:pStyle w:val="Compact"/>
              <w:jc w:val="left"/>
            </w:pPr>
            <w:r>
              <w:t xml:space="preserve">D</w:t>
            </w:r>
          </w:p>
        </w:tc>
        <w:tc>
          <w:p>
            <w:pPr>
              <w:pStyle w:val="Compact"/>
              <w:jc w:val="right"/>
            </w:pPr>
            <w:r>
              <w:t xml:space="preserve">146.83</w:t>
            </w:r>
          </w:p>
        </w:tc>
        <w:tc>
          <w:p>
            <w:pPr>
              <w:pStyle w:val="Compact"/>
              <w:jc w:val="right"/>
            </w:pPr>
            <w:r>
              <w:t xml:space="preserve">586</w:t>
            </w:r>
          </w:p>
        </w:tc>
      </w:tr>
      <w:tr>
        <w:tc>
          <w:p>
            <w:pPr>
              <w:pStyle w:val="Compact"/>
              <w:jc w:val="left"/>
            </w:pPr>
            <w:r>
              <w:t xml:space="preserve">D#</w:t>
            </w:r>
          </w:p>
        </w:tc>
        <w:tc>
          <w:p>
            <w:pPr>
              <w:pStyle w:val="Compact"/>
              <w:jc w:val="right"/>
            </w:pPr>
            <w:r>
              <w:t xml:space="preserve">155.56</w:t>
            </w:r>
          </w:p>
        </w:tc>
        <w:tc>
          <w:p>
            <w:pPr>
              <w:pStyle w:val="Compact"/>
              <w:jc w:val="right"/>
            </w:pPr>
            <w:r>
              <w:t xml:space="preserve">553</w:t>
            </w:r>
          </w:p>
        </w:tc>
      </w:tr>
      <w:tr>
        <w:tc>
          <w:p>
            <w:pPr>
              <w:pStyle w:val="Compact"/>
              <w:jc w:val="left"/>
            </w:pPr>
            <w:r>
              <w:t xml:space="preserve">E</w:t>
            </w:r>
          </w:p>
        </w:tc>
        <w:tc>
          <w:p>
            <w:pPr>
              <w:pStyle w:val="Compact"/>
              <w:jc w:val="right"/>
            </w:pPr>
            <w:r>
              <w:t xml:space="preserve">164.81</w:t>
            </w:r>
          </w:p>
        </w:tc>
        <w:tc>
          <w:p>
            <w:pPr>
              <w:pStyle w:val="Compact"/>
              <w:jc w:val="right"/>
            </w:pPr>
            <w:r>
              <w:t xml:space="preserve">522</w:t>
            </w:r>
          </w:p>
        </w:tc>
      </w:tr>
    </w:tbl>
    <w:p>
      <w:pPr>
        <w:pStyle w:val="Heading2"/>
      </w:pPr>
      <w:bookmarkStart w:id="40" w:name="decoration"/>
      <w:r>
        <w:t xml:space="preserve">Decoration</w:t>
      </w:r>
      <w:bookmarkEnd w:id="40"/>
    </w:p>
    <w:p>
      <w:pPr>
        <w:pStyle w:val="FirstParagraph"/>
      </w:pPr>
      <w:r>
        <w:t xml:space="preserve">According to</w:t>
      </w:r>
      <w:r>
        <w:t xml:space="preserve"> </w:t>
      </w:r>
      <w:r>
        <w:t xml:space="preserve">Harris (</w:t>
      </w:r>
      <w:hyperlink w:anchor="ref-harris">
        <w:r>
          <w:rPr>
            <w:rStyle w:val="Hyperlink"/>
          </w:rPr>
          <w:t xml:space="preserve">2013</w:t>
        </w:r>
      </w:hyperlink>
      <w:r>
        <w:t xml:space="preserve">)</w:t>
      </w:r>
      <w:r>
        <w:t xml:space="preserve">, the didgeridoo may be decorated. Many designs are inspired by nature and traditional pigments contributed an array of earth-tone hues to the instrument. See Figure</w:t>
      </w:r>
      <w:r>
        <w:t xml:space="preserve"> </w:t>
      </w:r>
      <w:r>
        <w:t xml:space="preserve">9</w:t>
      </w:r>
      <w:r>
        <w:t xml:space="preserve"> </w:t>
      </w:r>
      <w:r>
        <w:t xml:space="preserve">for some examples.</w:t>
      </w:r>
    </w:p>
    <w:p>
      <w:pPr>
        <w:pStyle w:val="CaptionedFigure"/>
      </w:pPr>
      <w:r>
        <w:drawing>
          <wp:inline>
            <wp:extent cx="5334000" cy="4000500"/>
            <wp:effectExtent b="0" l="0" r="0" t="0"/>
            <wp:docPr descr="Figure 9 Didgeridoo decorations. Photo by Bernard Spragg, NZ. Public Domain." title="" id="1" name="Picture"/>
            <a:graphic>
              <a:graphicData uri="http://schemas.openxmlformats.org/drawingml/2006/picture">
                <pic:pic>
                  <pic:nvPicPr>
                    <pic:cNvPr descr="img/patternsA.jp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Didgeridoo decorations. Photo by Bernard Spragg, NZ. Public Domain.</w:t>
      </w:r>
    </w:p>
    <w:p>
      <w:pPr>
        <w:pStyle w:val="Heading2"/>
      </w:pPr>
      <w:bookmarkStart w:id="42" w:name="play"/>
      <w:r>
        <w:t xml:space="preserve">Play</w:t>
      </w:r>
      <w:bookmarkEnd w:id="42"/>
    </w:p>
    <w:p>
      <w:pPr>
        <w:pStyle w:val="FirstParagraph"/>
      </w:pPr>
      <w:r>
        <w:t xml:space="preserve">At the most basic level, the didgeridoo is a very simple tube, traditionally a hollowed-out eucalyptus branch or trunk eaten away from the inside by termites. This wind instrument, also classified as a brass aerophone, is deceptively simple however. The physical characteristics of the instrument, paired with the skill of the musician, allow for a wide variety of sounds that may incorporate percussion, vocalization, and intricate droning techniques. For more information on terminology such as resonance, backpressure, and different types of notes, investigate the information presented by</w:t>
      </w:r>
      <w:r>
        <w:t xml:space="preserve"> </w:t>
      </w:r>
      <w:r>
        <w:t xml:space="preserve">Gallery (</w:t>
      </w:r>
      <w:hyperlink w:anchor="ref-terminology">
        <w:r>
          <w:rPr>
            <w:rStyle w:val="Hyperlink"/>
          </w:rPr>
          <w:t xml:space="preserve">n.d.</w:t>
        </w:r>
      </w:hyperlink>
      <w:r>
        <w:t xml:space="preserve">)</w:t>
      </w:r>
      <w:r>
        <w:t xml:space="preserve">. These concepts may help students to think of some methods they can try to incorporate into their playing style.</w:t>
      </w:r>
    </w:p>
    <w:p>
      <w:pPr>
        <w:pStyle w:val="BodyText"/>
      </w:pPr>
      <w:r>
        <w:t xml:space="preserve">It’s a great idea to watch some videos online to hear musicians play different styles, different instruments in a variety of keys, and to hear artists practice as a band. One popular channel on YouTube is</w:t>
      </w:r>
      <w:r>
        <w:t xml:space="preserve"> </w:t>
      </w:r>
      <w:hyperlink r:id="rId43">
        <w:r>
          <w:rPr>
            <w:rStyle w:val="Hyperlink"/>
          </w:rPr>
          <w:t xml:space="preserve">DidgeridooBreath</w:t>
        </w:r>
      </w:hyperlink>
      <w:r>
        <w:t xml:space="preserve">.</w:t>
      </w:r>
    </w:p>
    <w:p>
      <w:pPr>
        <w:pStyle w:val="BodyText"/>
      </w:pPr>
      <w:r>
        <w:t xml:space="preserve">Here’s a video of Sanshi providing a good intro to the didgeridoo:</w:t>
      </w:r>
    </w:p>
    <w:p>
      <w:pPr>
        <w:pStyle w:val="BodyText"/>
      </w:pPr>
      <w:r>
        <w:t xml:space="preserve">Sanshi plays a lot of didgeridoo demonstrations to provide customers with an idea of how each instrument sounds. Here’s a video entitled</w:t>
      </w:r>
      <w:r>
        <w:t xml:space="preserve"> </w:t>
      </w:r>
      <w:r>
        <w:t xml:space="preserve">“</w:t>
      </w:r>
      <w:hyperlink r:id="rId44">
        <w:r>
          <w:rPr>
            <w:rStyle w:val="Hyperlink"/>
          </w:rPr>
          <w:t xml:space="preserve">Ellswood Didge C (No.2202) Didgeridoo Demo.</w:t>
        </w:r>
      </w:hyperlink>
      <w:r>
        <w:t xml:space="preserve">”</w:t>
      </w:r>
    </w:p>
    <w:p>
      <w:pPr>
        <w:pStyle w:val="BodyText"/>
      </w:pPr>
      <w:r>
        <w:t xml:space="preserve">A didgeridoo is featured in</w:t>
      </w:r>
      <w:r>
        <w:t xml:space="preserve"> </w:t>
      </w:r>
      <w:r>
        <w:t xml:space="preserve">“</w:t>
      </w:r>
      <w:r>
        <w:t xml:space="preserve">Dariya</w:t>
      </w:r>
      <w:r>
        <w:t xml:space="preserve">”</w:t>
      </w:r>
      <w:r>
        <w:t xml:space="preserve"> </w:t>
      </w:r>
      <w:r>
        <w:t xml:space="preserve">performed here as a Tiny Desk Concert entry by Maharajah Flamenco Trio from Tallahassee, Florida, USA. Performed by Ramin Yazdanpanah on cajon &amp; didgeridoo, David Cobb on bass, and Silviu Ciulei on guitar.</w:t>
      </w:r>
    </w:p>
    <w:p>
      <w:pPr>
        <w:pStyle w:val="Heading1"/>
      </w:pPr>
      <w:bookmarkStart w:id="45" w:name="climate-data"/>
      <w:r>
        <w:t xml:space="preserve">Climate Data</w:t>
      </w:r>
      <w:bookmarkEnd w:id="45"/>
    </w:p>
    <w:p>
      <w:pPr>
        <w:pStyle w:val="Heading2"/>
      </w:pPr>
      <w:bookmarkStart w:id="46" w:name="overview-1"/>
      <w:r>
        <w:t xml:space="preserve">Overview</w:t>
      </w:r>
      <w:bookmarkEnd w:id="46"/>
    </w:p>
    <w:p>
      <w:pPr>
        <w:pStyle w:val="FirstParagraph"/>
      </w:pPr>
      <w:r>
        <w:t xml:space="preserve">A wealth of climate change information is available online and students should be encouraged to conduct their own investigations of topics they find interesting. As the theme of this activity is wind, a few NASA resources have been collected for review. Students are expected to draw inspiration from these resources for the purpose of creating a musical piece for performance with their PVC didgeridoo and/or paixiao.</w:t>
      </w:r>
    </w:p>
    <w:p>
      <w:pPr>
        <w:pStyle w:val="Heading2"/>
      </w:pPr>
      <w:bookmarkStart w:id="47" w:name="data-perceptualization"/>
      <w:r>
        <w:t xml:space="preserve">Data Perceptualization</w:t>
      </w:r>
      <w:bookmarkEnd w:id="47"/>
    </w:p>
    <w:p>
      <w:pPr>
        <w:pStyle w:val="FirstParagraph"/>
      </w:pPr>
      <w:r>
        <w:t xml:space="preserve">Quantitative data, in the form of a sea numbers, are usually messy, bloated, and difficult to understand without imposing some kind of order upon them. Humans therefore, tend to take advantage of our exceptional visual-spatial processing capabilities and create colorful visualizations to represent the data in a more meaningful way for easier understanding and communication across groups.</w:t>
      </w:r>
    </w:p>
    <w:p>
      <w:pPr>
        <w:pStyle w:val="BodyText"/>
      </w:pPr>
      <w:r>
        <w:t xml:space="preserve">As an example, we can look at a land temperature data visualization presented by</w:t>
      </w:r>
      <w:r>
        <w:t xml:space="preserve"> </w:t>
      </w:r>
      <w:r>
        <w:t xml:space="preserve">Rosenman (</w:t>
      </w:r>
      <w:hyperlink w:anchor="ref-tempDataViz">
        <w:r>
          <w:rPr>
            <w:rStyle w:val="Hyperlink"/>
          </w:rPr>
          <w:t xml:space="preserve">2017</w:t>
        </w:r>
      </w:hyperlink>
      <w:r>
        <w:t xml:space="preserve">)</w:t>
      </w:r>
      <w:r>
        <w:t xml:space="preserve">. In this plot, we see a few notable features. First, the x axis represents each the years 1850 to 2015. The y axis represents the Global Average Temperature in Celcius. Black data points are presented for each year, restricted to only the United States. Each data point is paired with error bars representing uncertainty in that calculated value. We can observe how the uncertainty, or the distance between the maximum and minimum value of the error bars decreases over time. This might be due to our increasing sophistication in measurement tools and perhaps the sheer number of data points collected each year. Another feature we see is the meandering line and blue shaded region. The line represents a smoothed average over time and the blue shaded region represents the 95% confidence interval around that average. This line and shaded region are used to provide an idea about a trend in the data set. Hopefully, this type of scatterplot visualization can more easily inform the viewer about any patterns in the data that might be of interest versus the raw data.</w:t>
      </w:r>
    </w:p>
    <w:p>
      <w:pPr>
        <w:pStyle w:val="CaptionedFigure"/>
      </w:pPr>
      <w:r>
        <w:drawing>
          <wp:inline>
            <wp:extent cx="5334000" cy="2844800"/>
            <wp:effectExtent b="0" l="0" r="0" t="0"/>
            <wp:docPr descr="Figure 10 Global Average Temperature by Year, United States" title="" id="1" name="Picture"/>
            <a:graphic>
              <a:graphicData uri="http://schemas.openxmlformats.org/drawingml/2006/picture">
                <pic:pic>
                  <pic:nvPicPr>
                    <pic:cNvPr descr="img/tempDataPlot.png" id="0" name="Picture"/>
                    <pic:cNvPicPr>
                      <a:picLocks noChangeArrowheads="1" noChangeAspect="1"/>
                    </pic:cNvPicPr>
                  </pic:nvPicPr>
                  <pic:blipFill>
                    <a:blip r:embed="rId48"/>
                    <a:stretch>
                      <a:fillRect/>
                    </a:stretch>
                  </pic:blipFill>
                  <pic:spPr bwMode="auto">
                    <a:xfrm>
                      <a:off x="0" y="0"/>
                      <a:ext cx="5334000" cy="2844800"/>
                    </a:xfrm>
                    <a:prstGeom prst="rect">
                      <a:avLst/>
                    </a:prstGeom>
                    <a:noFill/>
                    <a:ln w="9525">
                      <a:noFill/>
                      <a:headEnd/>
                      <a:tailEnd/>
                    </a:ln>
                  </pic:spPr>
                </pic:pic>
              </a:graphicData>
            </a:graphic>
          </wp:inline>
        </w:drawing>
      </w:r>
    </w:p>
    <w:p>
      <w:pPr>
        <w:pStyle w:val="ImageCaption"/>
      </w:pPr>
      <w:r>
        <w:t xml:space="preserve">Figure 10 Global Average Temperature by Year, United States</w:t>
      </w:r>
    </w:p>
    <w:p>
      <w:pPr>
        <w:pStyle w:val="BodyText"/>
      </w:pPr>
      <w:r>
        <w:t xml:space="preserve">Visualization is not the only method for understanding data, however. We may also use a process called sonification (</w:t>
      </w:r>
      <w:r>
        <w:t xml:space="preserve">Nees and Walker (</w:t>
      </w:r>
      <w:hyperlink w:anchor="ref-sonification">
        <w:r>
          <w:rPr>
            <w:rStyle w:val="Hyperlink"/>
          </w:rPr>
          <w:t xml:space="preserve">2012</w:t>
        </w:r>
      </w:hyperlink>
      <w:r>
        <w:t xml:space="preserve">)</w:t>
      </w:r>
      <w:r>
        <w:t xml:space="preserve">) to transform data into sound. This method offers advantages over visualization for recognition of time-based patterns and changes. This is important when dealing with very long time frames on the geologic time scale.</w:t>
      </w:r>
    </w:p>
    <w:p>
      <w:pPr>
        <w:pStyle w:val="BodyText"/>
      </w:pPr>
      <w:r>
        <w:t xml:space="preserve">As an example of a sonfication of climate data for popular consumption, listen to</w:t>
      </w:r>
      <w:r>
        <w:t xml:space="preserve"> </w:t>
      </w:r>
      <w:r>
        <w:t xml:space="preserve">“</w:t>
      </w:r>
      <w:r>
        <w:t xml:space="preserve">134 Years of Global Temperature Change in 14 Seconds</w:t>
      </w:r>
      <w:r>
        <w:t xml:space="preserve">”</w:t>
      </w:r>
      <w:r>
        <w:t xml:space="preserve"> </w:t>
      </w:r>
      <w:r>
        <w:t xml:space="preserve">by Nelson Guda (</w:t>
      </w:r>
      <w:r>
        <w:t xml:space="preserve">Guda (</w:t>
      </w:r>
      <w:hyperlink w:anchor="ref-threshold">
        <w:r>
          <w:rPr>
            <w:rStyle w:val="Hyperlink"/>
          </w:rPr>
          <w:t xml:space="preserve">n.d.</w:t>
        </w:r>
      </w:hyperlink>
      <w:r>
        <w:t xml:space="preserve">)</w:t>
      </w:r>
      <w:r>
        <w:t xml:space="preserve">) for [Threshold] (</w:t>
      </w:r>
      <w:hyperlink r:id="rId49">
        <w:r>
          <w:rPr>
            <w:rStyle w:val="Hyperlink"/>
          </w:rPr>
          <w:t xml:space="preserve">https://nelsonguda.com/project/threshold/</w:t>
        </w:r>
      </w:hyperlink>
      <w:r>
        <w:t xml:space="preserve">), a data art project about climate change. In this piece,</w:t>
      </w:r>
      <w:r>
        <w:t xml:space="preserve"> </w:t>
      </w:r>
      <w:r>
        <w:t xml:space="preserve">“</w:t>
      </w:r>
      <w:r>
        <w:t xml:space="preserve">the piano notes are the annual temperature data from 1850 – 2015</w:t>
      </w:r>
      <w:r>
        <w:t xml:space="preserve">”</w:t>
      </w:r>
      <w:r>
        <w:t xml:space="preserve">," and</w:t>
      </w:r>
      <w:r>
        <w:t xml:space="preserve"> </w:t>
      </w:r>
      <w:r>
        <w:t xml:space="preserve">“</w:t>
      </w:r>
      <w:r>
        <w:t xml:space="preserve">the orchestra plays chords made of the minimum, mean and maximum temperatures for eight year intervals over that time period.</w:t>
      </w:r>
      <w:r>
        <w:t xml:space="preserve">”</w:t>
      </w:r>
      <w:r>
        <w:t xml:space="preserve"> </w:t>
      </w:r>
      <w:r>
        <w:t xml:space="preserve">The data are sourced from The Berkeley Earth Data site (</w:t>
      </w:r>
      <w:r>
        <w:t xml:space="preserve">Study (</w:t>
      </w:r>
      <w:hyperlink w:anchor="ref-tempData">
        <w:r>
          <w:rPr>
            <w:rStyle w:val="Hyperlink"/>
          </w:rPr>
          <w:t xml:space="preserve">n.d.</w:t>
        </w:r>
      </w:hyperlink>
      <w:r>
        <w:t xml:space="preserve">)</w:t>
      </w:r>
      <w:r>
        <w:t xml:space="preserve">).</w:t>
      </w:r>
    </w:p>
    <w:p>
      <w:pPr>
        <w:pStyle w:val="BodyText"/>
      </w:pPr>
      <w:r>
        <w:t xml:space="preserve">TODO: expand</w:t>
      </w:r>
      <w:r>
        <w:t xml:space="preserve"> </w:t>
      </w:r>
      <w:hyperlink r:id="rId50">
        <w:r>
          <w:rPr>
            <w:rStyle w:val="Hyperlink"/>
          </w:rPr>
          <w:t xml:space="preserve">https://power.larc.nasa.gov/</w:t>
        </w:r>
      </w:hyperlink>
      <w:r>
        <w:t xml:space="preserve"> </w:t>
      </w:r>
      <w:hyperlink r:id="rId51">
        <w:r>
          <w:rPr>
            <w:rStyle w:val="Hyperlink"/>
          </w:rPr>
          <w:t xml:space="preserve">https://climate.nasa.gov/evidence/</w:t>
        </w:r>
      </w:hyperlink>
    </w:p>
    <w:p>
      <w:pPr>
        <w:pStyle w:val="Heading2"/>
      </w:pPr>
      <w:bookmarkStart w:id="52" w:name="reading-fire-and-ice"/>
      <w:r>
        <w:t xml:space="preserve">Reading: Fire and Ice</w:t>
      </w:r>
      <w:bookmarkEnd w:id="52"/>
    </w:p>
    <w:p>
      <w:pPr>
        <w:pStyle w:val="FirstParagraph"/>
      </w:pPr>
      <w:r>
        <w:t xml:space="preserve">TODO: expand</w:t>
      </w:r>
      <w:r>
        <w:t xml:space="preserve"> </w:t>
      </w:r>
      <w:hyperlink r:id="rId53">
        <w:r>
          <w:rPr>
            <w:rStyle w:val="Hyperlink"/>
          </w:rPr>
          <w:t xml:space="preserve">https://climate.nasa.gov/news/2631/wind-warm-water-revved-up-melting-antarctic-glaciers/</w:t>
        </w:r>
      </w:hyperlink>
      <w:r>
        <w:t xml:space="preserve"> </w:t>
      </w:r>
      <w:hyperlink r:id="rId54">
        <w:r>
          <w:rPr>
            <w:rStyle w:val="Hyperlink"/>
          </w:rPr>
          <w:t xml:space="preserve">https://climate.nasa.gov/news/2791/a-world-on-fire/</w:t>
        </w:r>
      </w:hyperlink>
      <w:r>
        <w:t xml:space="preserve"> </w:t>
      </w:r>
      <w:hyperlink r:id="rId55">
        <w:r>
          <w:rPr>
            <w:rStyle w:val="Hyperlink"/>
          </w:rPr>
          <w:t xml:space="preserve">https://climate.nasa.gov/news/2284/airborne-mission-to-focus-on-polar-winds/</w:t>
        </w:r>
      </w:hyperlink>
    </w:p>
    <w:p>
      <w:pPr>
        <w:pStyle w:val="Heading1"/>
      </w:pPr>
      <w:bookmarkStart w:id="56" w:name="music"/>
      <w:r>
        <w:t xml:space="preserve">Music</w:t>
      </w:r>
      <w:bookmarkEnd w:id="56"/>
    </w:p>
    <w:p>
      <w:pPr>
        <w:pStyle w:val="Heading2"/>
      </w:pPr>
      <w:bookmarkStart w:id="57" w:name="climate-data-as-inspiration"/>
      <w:r>
        <w:t xml:space="preserve">Climate Data as Inspiration</w:t>
      </w:r>
      <w:bookmarkEnd w:id="57"/>
    </w:p>
    <w:p>
      <w:pPr>
        <w:pStyle w:val="FirstParagraph"/>
      </w:pPr>
      <w:r>
        <w:t xml:space="preserve">TODO</w:t>
      </w:r>
    </w:p>
    <w:p>
      <w:pPr>
        <w:pStyle w:val="BodyText"/>
      </w:pPr>
      <w:r>
        <w:t xml:space="preserve">Students should look to the suggested climate data resources, or other reputable information, for inspiration to create a musical piece to be performed with their PVC instruments. Students should be allowed maximum creative freedom to interpret their data in musical form but some suggestions include converting wind speed changes into pitch variation, temperature into tempo, or spikes into percussion. Students should brainstorm and work among small teams to document their data source, their method of interpretation, and their data-to-music philosophy.</w:t>
      </w:r>
    </w:p>
    <w:p>
      <w:pPr>
        <w:pStyle w:val="Heading2"/>
      </w:pPr>
      <w:bookmarkStart w:id="58" w:name="performance"/>
      <w:r>
        <w:t xml:space="preserve">Performance</w:t>
      </w:r>
      <w:bookmarkEnd w:id="58"/>
    </w:p>
    <w:p>
      <w:pPr>
        <w:pStyle w:val="FirstParagraph"/>
      </w:pPr>
      <w:r>
        <w:t xml:space="preserve">TODO</w:t>
      </w:r>
    </w:p>
    <w:p>
      <w:pPr>
        <w:pStyle w:val="BodyText"/>
      </w:pPr>
      <w:r>
        <w:t xml:space="preserve">Students will perform in small teams. A team leader should announce the piece and include a brief informative talk about the data source and how it was used to inspire the musical performance.</w:t>
      </w:r>
    </w:p>
    <w:p>
      <w:pPr>
        <w:pStyle w:val="Heading1"/>
      </w:pPr>
      <w:bookmarkStart w:id="59" w:name="materials-and-tools-list"/>
      <w:r>
        <w:t xml:space="preserve">Materials and Tools List</w:t>
      </w:r>
      <w:bookmarkEnd w:id="59"/>
    </w:p>
    <w:p>
      <w:pPr>
        <w:pStyle w:val="FirstParagraph"/>
      </w:pPr>
      <w:r>
        <w:t xml:space="preserve">This chapter describes the materials and tools needed to construct a basic PVC didgeridoo and a basic PVC paixiao.</w:t>
      </w:r>
    </w:p>
    <w:p>
      <w:pPr>
        <w:pStyle w:val="Heading2"/>
      </w:pPr>
      <w:bookmarkStart w:id="60" w:name="pvc-didgeridoo"/>
      <w:r>
        <w:t xml:space="preserve">PVC Didgeridoo</w:t>
      </w:r>
      <w:bookmarkEnd w:id="60"/>
    </w:p>
    <w:p>
      <w:pPr>
        <w:pStyle w:val="TableCaption"/>
      </w:pPr>
      <w:r>
        <w:t xml:space="preserve">Table 2 Materials for constructing a PVC Didgeridoo.</w:t>
      </w:r>
    </w:p>
    <w:tbl>
      <w:tblPr>
        <w:tblStyle w:val="Table"/>
        <w:tblW w:type="pct" w:w="0.0"/>
        <w:tblLook w:firstRow="1"/>
        <w:tblCaption w:val="Table 2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3 Tools for constructing a PVC Didgeridoo.</w:t>
      </w:r>
    </w:p>
    <w:tbl>
      <w:tblPr>
        <w:tblStyle w:val="Table"/>
        <w:tblW w:type="pct" w:w="0.0"/>
        <w:tblLook w:firstRow="1"/>
        <w:tblCaption w:val="Table 3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61" w:name="pvc-paixiao"/>
      <w:r>
        <w:t xml:space="preserve">PVC Paixiao</w:t>
      </w:r>
      <w:bookmarkEnd w:id="61"/>
    </w:p>
    <w:bookmarkStart w:id="81" w:name="refs"/>
    <w:bookmarkStart w:id="63" w:name="ref-tuning"/>
    <w:p>
      <w:pPr>
        <w:pStyle w:val="Bibliography"/>
      </w:pPr>
      <w:r>
        <w:t xml:space="preserve">Didjshop. 2016. “Physics of the Didgeridoo.” didjshop.com.</w:t>
      </w:r>
      <w:r>
        <w:t xml:space="preserve"> </w:t>
      </w:r>
      <w:hyperlink r:id="rId62">
        <w:r>
          <w:rPr>
            <w:rStyle w:val="Hyperlink"/>
          </w:rPr>
          <w:t xml:space="preserve">https://www.didjshop.com/physicsDidj.html</w:t>
        </w:r>
      </w:hyperlink>
      <w:r>
        <w:t xml:space="preserve">.</w:t>
      </w:r>
    </w:p>
    <w:bookmarkEnd w:id="63"/>
    <w:bookmarkStart w:id="65" w:name="ref-fletcher"/>
    <w:p>
      <w:pPr>
        <w:pStyle w:val="Bibliography"/>
      </w:pPr>
      <w:r>
        <w:t xml:space="preserve">Fletcher, N. 1996. “The Didjeridoo (Didgeridoo).”</w:t>
      </w:r>
      <w:r>
        <w:t xml:space="preserve"> </w:t>
      </w:r>
      <w:r>
        <w:rPr>
          <w:i/>
        </w:rPr>
        <w:t xml:space="preserve">Acoustics Australia</w:t>
      </w:r>
      <w:r>
        <w:t xml:space="preserve"> </w:t>
      </w:r>
      <w:r>
        <w:t xml:space="preserve">24 (1): 11–15.</w:t>
      </w:r>
      <w:r>
        <w:t xml:space="preserve"> </w:t>
      </w:r>
      <w:hyperlink r:id="rId64">
        <w:r>
          <w:rPr>
            <w:rStyle w:val="Hyperlink"/>
          </w:rPr>
          <w:t xml:space="preserve">https://www.acoustics.asn.au/journal/1996/1996_24_1_Fletcher.pdf</w:t>
        </w:r>
      </w:hyperlink>
      <w:r>
        <w:t xml:space="preserve">.</w:t>
      </w:r>
    </w:p>
    <w:bookmarkEnd w:id="65"/>
    <w:bookmarkStart w:id="67" w:name="ref-terminology"/>
    <w:p>
      <w:pPr>
        <w:pStyle w:val="Bibliography"/>
      </w:pPr>
      <w:r>
        <w:t xml:space="preserve">Gallery, Spirit. n.d. “Didgeridoo Terminology.” spiritgallery.com.au.</w:t>
      </w:r>
      <w:r>
        <w:t xml:space="preserve"> </w:t>
      </w:r>
      <w:hyperlink r:id="rId66">
        <w:r>
          <w:rPr>
            <w:rStyle w:val="Hyperlink"/>
          </w:rPr>
          <w:t xml:space="preserve">https://www.spiritgallery.com.au/didgeridoo-terminology</w:t>
        </w:r>
      </w:hyperlink>
      <w:r>
        <w:t xml:space="preserve">.</w:t>
      </w:r>
    </w:p>
    <w:bookmarkEnd w:id="67"/>
    <w:bookmarkStart w:id="68" w:name="ref-threshold"/>
    <w:p>
      <w:pPr>
        <w:pStyle w:val="Bibliography"/>
      </w:pPr>
      <w:r>
        <w:t xml:space="preserve">Guda, Nelson. n.d. “Threshold.” nelsonguda.com.</w:t>
      </w:r>
      <w:r>
        <w:t xml:space="preserve"> </w:t>
      </w:r>
      <w:hyperlink r:id="rId49">
        <w:r>
          <w:rPr>
            <w:rStyle w:val="Hyperlink"/>
          </w:rPr>
          <w:t xml:space="preserve">https://nelsonguda.com/project/threshold/</w:t>
        </w:r>
      </w:hyperlink>
      <w:r>
        <w:t xml:space="preserve">.</w:t>
      </w:r>
    </w:p>
    <w:bookmarkEnd w:id="68"/>
    <w:bookmarkStart w:id="70" w:name="ref-harris"/>
    <w:p>
      <w:pPr>
        <w:pStyle w:val="Bibliography"/>
      </w:pPr>
      <w:r>
        <w:t xml:space="preserve">Harris, Matthew. 2013. “The Didgeridoo.” didjiman.com.</w:t>
      </w:r>
      <w:r>
        <w:t xml:space="preserve"> </w:t>
      </w:r>
      <w:hyperlink r:id="rId69">
        <w:r>
          <w:rPr>
            <w:rStyle w:val="Hyperlink"/>
          </w:rPr>
          <w:t xml:space="preserve">http://didjiman.com/didjeridu/</w:t>
        </w:r>
      </w:hyperlink>
      <w:r>
        <w:t xml:space="preserve">.</w:t>
      </w:r>
    </w:p>
    <w:bookmarkEnd w:id="70"/>
    <w:bookmarkStart w:id="72" w:name="ref-timbres"/>
    <w:p>
      <w:pPr>
        <w:pStyle w:val="Bibliography"/>
      </w:pPr>
      <w:r>
        <w:t xml:space="preserve">Hopkin, Michael. 2005. “Physicists Learn Secrets of Didgeridoo.” nature.com.</w:t>
      </w:r>
      <w:r>
        <w:t xml:space="preserve"> </w:t>
      </w:r>
      <w:hyperlink r:id="rId71">
        <w:r>
          <w:rPr>
            <w:rStyle w:val="Hyperlink"/>
          </w:rPr>
          <w:t xml:space="preserve">https://www.nature.com/news/2005/050704/full/news050704-7.html</w:t>
        </w:r>
      </w:hyperlink>
      <w:r>
        <w:t xml:space="preserve">.</w:t>
      </w:r>
    </w:p>
    <w:bookmarkEnd w:id="72"/>
    <w:bookmarkStart w:id="74" w:name="ref-sonification"/>
    <w:p>
      <w:pPr>
        <w:pStyle w:val="Bibliography"/>
      </w:pPr>
      <w:r>
        <w:t xml:space="preserve">Nees, Michael, and Bruce Walker. 2012. “Theory of Sonification.” In, 9–39.</w:t>
      </w:r>
      <w:r>
        <w:t xml:space="preserve"> </w:t>
      </w:r>
      <w:hyperlink r:id="rId73">
        <w:r>
          <w:rPr>
            <w:rStyle w:val="Hyperlink"/>
          </w:rPr>
          <w:t xml:space="preserve">http://sonify.psych.gatech.edu/~ben/references/nees_theory_of_sonification.pdf</w:t>
        </w:r>
      </w:hyperlink>
      <w:r>
        <w:t xml:space="preserve">.</w:t>
      </w:r>
    </w:p>
    <w:bookmarkEnd w:id="74"/>
    <w:bookmarkStart w:id="76" w:name="ref-tempDataViz"/>
    <w:p>
      <w:pPr>
        <w:pStyle w:val="Bibliography"/>
      </w:pPr>
      <w:r>
        <w:t xml:space="preserve">Rosenman, Dave. 2017. “Climate Change: Land Temperature Data, 1850-2015.” kaggle.com.</w:t>
      </w:r>
      <w:r>
        <w:t xml:space="preserve"> </w:t>
      </w:r>
      <w:hyperlink r:id="rId75">
        <w:r>
          <w:rPr>
            <w:rStyle w:val="Hyperlink"/>
          </w:rPr>
          <w:t xml:space="preserve">https://www.kaggle.com/daverosenman/climate-change-land-temperature-data-1850-2015/data</w:t>
        </w:r>
      </w:hyperlink>
      <w:r>
        <w:t xml:space="preserve">.</w:t>
      </w:r>
    </w:p>
    <w:bookmarkEnd w:id="76"/>
    <w:bookmarkStart w:id="78" w:name="ref-tempData"/>
    <w:p>
      <w:pPr>
        <w:pStyle w:val="Bibliography"/>
      </w:pPr>
      <w:r>
        <w:t xml:space="preserve">Study, The Berkeley Earth Surface Temperature. n.d. “Berkeley Earth Data.” berkeleyearth.org.</w:t>
      </w:r>
      <w:r>
        <w:t xml:space="preserve"> </w:t>
      </w:r>
      <w:hyperlink r:id="rId77">
        <w:r>
          <w:rPr>
            <w:rStyle w:val="Hyperlink"/>
          </w:rPr>
          <w:t xml:space="preserve">http://berkeleyearth.org/data/</w:t>
        </w:r>
      </w:hyperlink>
      <w:r>
        <w:t xml:space="preserve">.</w:t>
      </w:r>
    </w:p>
    <w:bookmarkEnd w:id="78"/>
    <w:bookmarkStart w:id="80" w:name="ref-tarnopolsky"/>
    <w:p>
      <w:pPr>
        <w:pStyle w:val="Bibliography"/>
      </w:pPr>
      <w:r>
        <w:t xml:space="preserve">Tarnopolsky, A., N. Fletcher, L. Hollenberg, B. Lange, J. Smith, and J. Wolfe. 2005. “Acoustics: the vocal tract and the sound of a didgeridoo.”</w:t>
      </w:r>
      <w:r>
        <w:t xml:space="preserve"> </w:t>
      </w:r>
      <w:r>
        <w:rPr>
          <w:i/>
        </w:rPr>
        <w:t xml:space="preserve">Nature</w:t>
      </w:r>
      <w:r>
        <w:t xml:space="preserve"> </w:t>
      </w:r>
      <w:r>
        <w:t xml:space="preserve">436 (7047): 39.</w:t>
      </w:r>
      <w:r>
        <w:t xml:space="preserve"> </w:t>
      </w:r>
      <w:hyperlink r:id="rId79">
        <w:r>
          <w:rPr>
            <w:rStyle w:val="Hyperlink"/>
          </w:rPr>
          <w:t xml:space="preserve">https://doi.org/10.1038/43639a</w:t>
        </w:r>
      </w:hyperlink>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jpg" /><Relationship Type="http://schemas.openxmlformats.org/officeDocument/2006/relationships/image" Id="rId41" Target="media/rId41.jp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77" Target="http://berkeleyearth.org/data/" TargetMode="External" /><Relationship Type="http://schemas.openxmlformats.org/officeDocument/2006/relationships/hyperlink" Id="rId69" Target="http://didjiman.com/didjeridu/" TargetMode="External" /><Relationship Type="http://schemas.openxmlformats.org/officeDocument/2006/relationships/hyperlink" Id="rId73" Target="http://sonify.psych.gatech.edu/~ben/references/nees_theory_of_sonification.pdf" TargetMode="External" /><Relationship Type="http://schemas.openxmlformats.org/officeDocument/2006/relationships/hyperlink" Id="rId51" Target="https://climate.nasa.gov/evidence/" TargetMode="External" /><Relationship Type="http://schemas.openxmlformats.org/officeDocument/2006/relationships/hyperlink" Id="rId55" Target="https://climate.nasa.gov/news/2284/airborne-mission-to-focus-on-polar-winds/" TargetMode="External" /><Relationship Type="http://schemas.openxmlformats.org/officeDocument/2006/relationships/hyperlink" Id="rId53" Target="https://climate.nasa.gov/news/2631/wind-warm-water-revved-up-melting-antarctic-glaciers/" TargetMode="External" /><Relationship Type="http://schemas.openxmlformats.org/officeDocument/2006/relationships/hyperlink" Id="rId54" Target="https://climate.nasa.gov/news/2791/a-world-on-fire/" TargetMode="External" /><Relationship Type="http://schemas.openxmlformats.org/officeDocument/2006/relationships/hyperlink" Id="rId79"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49" Target="https://nelsonguda.com/project/threshold/" TargetMode="External" /><Relationship Type="http://schemas.openxmlformats.org/officeDocument/2006/relationships/hyperlink" Id="rId50" Target="https://power.larc.nasa.gov/" TargetMode="External" /><Relationship Type="http://schemas.openxmlformats.org/officeDocument/2006/relationships/hyperlink" Id="rId64" Target="https://www.acoustics.asn.au/journal/1996/1996_24_1_Fletcher.pdf" TargetMode="External" /><Relationship Type="http://schemas.openxmlformats.org/officeDocument/2006/relationships/hyperlink" Id="rId62" Target="https://www.didjshop.com/physicsDidj.html" TargetMode="External" /><Relationship Type="http://schemas.openxmlformats.org/officeDocument/2006/relationships/hyperlink" Id="rId75" Target="https://www.kaggle.com/daverosenman/climate-change-land-temperature-data-1850-2015/data" TargetMode="External" /><Relationship Type="http://schemas.openxmlformats.org/officeDocument/2006/relationships/hyperlink" Id="rId26" Target="https://www.mftrio.com/" TargetMode="External" /><Relationship Type="http://schemas.openxmlformats.org/officeDocument/2006/relationships/hyperlink" Id="rId71" Target="https://www.nature.com/news/2005/050704/full/news050704-7.html" TargetMode="External" /><Relationship Type="http://schemas.openxmlformats.org/officeDocument/2006/relationships/hyperlink" Id="rId66" Target="https://www.spiritgallery.com.au/didgeridoo-terminology" TargetMode="External" /><Relationship Type="http://schemas.openxmlformats.org/officeDocument/2006/relationships/hyperlink" Id="rId43" Target="https://www.youtube.com/user/DidgeridooBreath/videos" TargetMode="External" /><Relationship Type="http://schemas.openxmlformats.org/officeDocument/2006/relationships/hyperlink" Id="rId44" Target="https://www.youtube.com/watch?v=Kwq6GKDDGXY" TargetMode="External" /></Relationships>
</file>

<file path=word/_rels/footnotes.xml.rels><?xml version="1.0" encoding="UTF-8"?>
<Relationships xmlns="http://schemas.openxmlformats.org/package/2006/relationships"><Relationship Type="http://schemas.openxmlformats.org/officeDocument/2006/relationships/hyperlink" Id="rId77" Target="http://berkeleyearth.org/data/" TargetMode="External" /><Relationship Type="http://schemas.openxmlformats.org/officeDocument/2006/relationships/hyperlink" Id="rId69" Target="http://didjiman.com/didjeridu/" TargetMode="External" /><Relationship Type="http://schemas.openxmlformats.org/officeDocument/2006/relationships/hyperlink" Id="rId73" Target="http://sonify.psych.gatech.edu/~ben/references/nees_theory_of_sonification.pdf" TargetMode="External" /><Relationship Type="http://schemas.openxmlformats.org/officeDocument/2006/relationships/hyperlink" Id="rId51" Target="https://climate.nasa.gov/evidence/" TargetMode="External" /><Relationship Type="http://schemas.openxmlformats.org/officeDocument/2006/relationships/hyperlink" Id="rId55" Target="https://climate.nasa.gov/news/2284/airborne-mission-to-focus-on-polar-winds/" TargetMode="External" /><Relationship Type="http://schemas.openxmlformats.org/officeDocument/2006/relationships/hyperlink" Id="rId53" Target="https://climate.nasa.gov/news/2631/wind-warm-water-revved-up-melting-antarctic-glaciers/" TargetMode="External" /><Relationship Type="http://schemas.openxmlformats.org/officeDocument/2006/relationships/hyperlink" Id="rId54" Target="https://climate.nasa.gov/news/2791/a-world-on-fire/" TargetMode="External" /><Relationship Type="http://schemas.openxmlformats.org/officeDocument/2006/relationships/hyperlink" Id="rId79"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49" Target="https://nelsonguda.com/project/threshold/" TargetMode="External" /><Relationship Type="http://schemas.openxmlformats.org/officeDocument/2006/relationships/hyperlink" Id="rId50" Target="https://power.larc.nasa.gov/" TargetMode="External" /><Relationship Type="http://schemas.openxmlformats.org/officeDocument/2006/relationships/hyperlink" Id="rId64" Target="https://www.acoustics.asn.au/journal/1996/1996_24_1_Fletcher.pdf" TargetMode="External" /><Relationship Type="http://schemas.openxmlformats.org/officeDocument/2006/relationships/hyperlink" Id="rId62" Target="https://www.didjshop.com/physicsDidj.html" TargetMode="External" /><Relationship Type="http://schemas.openxmlformats.org/officeDocument/2006/relationships/hyperlink" Id="rId75" Target="https://www.kaggle.com/daverosenman/climate-change-land-temperature-data-1850-2015/data" TargetMode="External" /><Relationship Type="http://schemas.openxmlformats.org/officeDocument/2006/relationships/hyperlink" Id="rId26" Target="https://www.mftrio.com/" TargetMode="External" /><Relationship Type="http://schemas.openxmlformats.org/officeDocument/2006/relationships/hyperlink" Id="rId71" Target="https://www.nature.com/news/2005/050704/full/news050704-7.html" TargetMode="External" /><Relationship Type="http://schemas.openxmlformats.org/officeDocument/2006/relationships/hyperlink" Id="rId66" Target="https://www.spiritgallery.com.au/didgeridoo-terminology" TargetMode="External" /><Relationship Type="http://schemas.openxmlformats.org/officeDocument/2006/relationships/hyperlink" Id="rId43" Target="https://www.youtube.com/user/DidgeridooBreath/videos" TargetMode="External" /><Relationship Type="http://schemas.openxmlformats.org/officeDocument/2006/relationships/hyperlink" Id="rId44" Target="https://www.youtube.com/watch?v=Kwq6GKDDGX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2019-04-19T15:06:22Z</dcterms:created>
  <dcterms:modified xsi:type="dcterms:W3CDTF">2019-04-19T15:06:22Z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2019-04-19</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