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XML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introducción-a-xml"/>
      <w:bookmarkEnd w:id="33"/>
      <w:r>
        <w:t xml:space="preserve">Introducción a XML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t xml:space="preserve">XML (Extensible Markup Language) es un</w:t>
      </w:r>
      <w:r>
        <w:t xml:space="preserve"> </w:t>
      </w:r>
      <w:r>
        <w:t xml:space="preserve">metalenguaje que</w:t>
      </w:r>
      <w:r>
        <w:t xml:space="preserve"> </w:t>
      </w:r>
      <w:r>
        <w:rPr>
          <w:b/>
        </w:rPr>
        <w:t xml:space="preserve">permite definir lenguajes</w:t>
      </w:r>
      <w:r>
        <w:rPr>
          <w:b/>
        </w:rPr>
        <w:t xml:space="preserve"> </w:t>
      </w:r>
      <w:r>
        <w:rPr>
          <w:b/>
        </w:rPr>
        <w:t xml:space="preserve">de marcado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Los lenguajes de marcado permiten describir</w:t>
      </w:r>
      <w:r>
        <w:t xml:space="preserve"> </w:t>
      </w:r>
      <w:r>
        <w:t xml:space="preserve">la estructura de los contenidos de un</w:t>
      </w:r>
      <w:r>
        <w:t xml:space="preserve"> </w:t>
      </w:r>
      <w:r>
        <w:t xml:space="preserve">documento.</w:t>
      </w:r>
    </w:p>
    <w:p>
      <w:pPr>
        <w:pStyle w:val="Heading2"/>
      </w:pPr>
      <w:bookmarkStart w:id="35" w:name="etiquetas"/>
      <w:bookmarkEnd w:id="35"/>
      <w:r>
        <w:t xml:space="preserve">Etiquetas</w:t>
      </w:r>
    </w:p>
    <w:p>
      <w:pPr>
        <w:numPr>
          <w:numId w:val="1008"/>
          <w:ilvl w:val="0"/>
        </w:numPr>
      </w:pPr>
      <w:r>
        <w:t xml:space="preserve">Un lenguaje de marcado está formado por un</w:t>
      </w:r>
      <w:r>
        <w:t xml:space="preserve"> </w:t>
      </w:r>
      <w:r>
        <w:t xml:space="preserve">conjunto de etiquetas que se encierran entre</w:t>
      </w:r>
      <w:r>
        <w:t xml:space="preserve"> </w:t>
      </w:r>
      <w:r>
        <w:rPr>
          <w:b/>
        </w:rPr>
        <w:t xml:space="preserve">corchetes angulares</w:t>
      </w:r>
      <w:r>
        <w:t xml:space="preserve">, &lt;&gt;, y se usan en pares.</w:t>
      </w:r>
    </w:p>
    <w:p>
      <w:pPr>
        <w:numPr>
          <w:numId w:val="1008"/>
          <w:ilvl w:val="0"/>
        </w:numPr>
      </w:pPr>
      <w:r>
        <w:t xml:space="preserve">Cada par de etiquetas delimita el comienzo y</w:t>
      </w:r>
      <w:r>
        <w:t xml:space="preserve"> </w:t>
      </w:r>
      <w:r>
        <w:t xml:space="preserve">el final de una porción de documento a la que</w:t>
      </w:r>
      <w:r>
        <w:t xml:space="preserve"> </w:t>
      </w:r>
      <w:r>
        <w:t xml:space="preserve">se refiere la etiqueta. Por ejemplo:</w:t>
      </w:r>
    </w:p>
    <w:p>
      <w:pPr>
        <w:pStyle w:val="SourceCode"/>
      </w:pPr>
      <w:r>
        <w:rPr>
          <w:rStyle w:val="KeywordTok"/>
        </w:rPr>
        <w:t xml:space="preserve">&lt;asignatura&gt;</w:t>
      </w:r>
      <w:r>
        <w:rPr>
          <w:rStyle w:val="NormalTok"/>
        </w:rPr>
        <w:t xml:space="preserve">Bases de datos</w:t>
      </w:r>
      <w:r>
        <w:rPr>
          <w:rStyle w:val="KeywordTok"/>
        </w:rPr>
        <w:t xml:space="preserve">&lt;/asignatura&gt;</w:t>
      </w:r>
    </w:p>
    <w:p>
      <w:pPr>
        <w:pStyle w:val="Heading2"/>
      </w:pPr>
      <w:bookmarkStart w:id="36" w:name="ejemplo-xml"/>
      <w:bookmarkEnd w:id="36"/>
      <w:r>
        <w:t xml:space="preserve">Ejemplo XML</w:t>
      </w:r>
    </w:p>
    <w:p>
      <w:pPr>
        <w:pStyle w:val="Compact"/>
      </w:pPr>
      <w:r>
        <w:drawing>
          <wp:inline>
            <wp:extent cx="4507605" cy="56667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05" cy="566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9"/>
          <w:ilvl w:val="0"/>
        </w:numPr>
      </w:pPr>
      <w:r>
        <w:t xml:space="preserve">Permite que la información esté autodocumentada.</w:t>
      </w:r>
    </w:p>
    <w:p>
      <w:pPr>
        <w:numPr>
          <w:numId w:val="1009"/>
          <w:ilvl w:val="0"/>
        </w:numPr>
      </w:pPr>
      <w:r>
        <w:t xml:space="preserve">Formato no rígido pues dispone de la capacidad</w:t>
      </w:r>
      <w:r>
        <w:t xml:space="preserve"> </w:t>
      </w:r>
      <w:r>
        <w:t xml:space="preserve">de reconocer e ignorar nuevas etiquetas.</w:t>
      </w:r>
    </w:p>
    <w:p>
      <w:pPr>
        <w:numPr>
          <w:numId w:val="1009"/>
          <w:ilvl w:val="0"/>
        </w:numPr>
      </w:pPr>
      <w:r>
        <w:t xml:space="preserve">Las etiquetas pueden aparecer varias veces</w:t>
      </w:r>
      <w:r>
        <w:t xml:space="preserve"> </w:t>
      </w:r>
      <w:r>
        <w:t xml:space="preserve">facilitando la representación de atributos</w:t>
      </w:r>
      <w:r>
        <w:t xml:space="preserve"> </w:t>
      </w:r>
      <w:r>
        <w:t xml:space="preserve">multivaluados.</w:t>
      </w:r>
    </w:p>
    <w:p>
      <w:pPr>
        <w:numPr>
          <w:numId w:val="1009"/>
          <w:ilvl w:val="0"/>
        </w:numPr>
      </w:pPr>
      <w:r>
        <w:t xml:space="preserve">Permite el anidamiento de etiquetas.</w:t>
      </w:r>
    </w:p>
    <w:p>
      <w:pPr>
        <w:pStyle w:val="Heading2"/>
      </w:pPr>
      <w:bookmarkStart w:id="39" w:name="ejemplo-api"/>
      <w:bookmarkEnd w:id="39"/>
      <w:r>
        <w:t xml:space="preserve">Ejemplo API</w:t>
      </w:r>
    </w:p>
    <w:p>
      <w:pPr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http://www.thomas-bayer.com/sqlrest/CUSTOMER/</w:t>
        </w:r>
      </w:hyperlink>
    </w:p>
    <w:p>
      <w:pPr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http://www.thomas-bayer.com/sqlrest/CUSTOMER/3/</w:t>
        </w:r>
      </w:hyperlink>
    </w:p>
    <w:p>
      <w:pPr>
        <w:pStyle w:val="Heading1"/>
      </w:pPr>
      <w:bookmarkStart w:id="42" w:name="estructura-básica"/>
      <w:bookmarkEnd w:id="42"/>
      <w:r>
        <w:t xml:space="preserve">Estructura básica</w:t>
      </w:r>
    </w:p>
    <w:p>
      <w:pPr>
        <w:pStyle w:val="Heading2"/>
      </w:pPr>
      <w:bookmarkStart w:id="43" w:name="prologo"/>
      <w:bookmarkEnd w:id="43"/>
      <w:r>
        <w:t xml:space="preserve">Prologo</w:t>
      </w:r>
    </w:p>
    <w:p>
      <w:pPr>
        <w:numPr>
          <w:numId w:val="1011"/>
          <w:ilvl w:val="0"/>
        </w:numPr>
      </w:pPr>
      <w:r>
        <w:t xml:space="preserve">Consta de dos declaraciones:</w:t>
      </w:r>
    </w:p>
    <w:p>
      <w:pPr>
        <w:pStyle w:val="Compact"/>
        <w:numPr>
          <w:numId w:val="1012"/>
          <w:ilvl w:val="1"/>
        </w:numPr>
      </w:pPr>
      <w:r>
        <w:t xml:space="preserve">La declaración XML que indica</w:t>
      </w:r>
      <w:r>
        <w:t xml:space="preserve"> </w:t>
      </w:r>
      <w:r>
        <w:rPr>
          <w:b/>
        </w:rPr>
        <w:t xml:space="preserve">la versión de XML</w:t>
      </w:r>
      <w:r>
        <w:rPr>
          <w:b/>
        </w:rPr>
        <w:t xml:space="preserve"> </w:t>
      </w:r>
      <w:r>
        <w:rPr>
          <w:b/>
        </w:rPr>
        <w:t xml:space="preserve">utilizada y el tipo de codificación de caracteres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La declaración de tipo de documento que asocia el</w:t>
      </w:r>
      <w:r>
        <w:t xml:space="preserve"> </w:t>
      </w:r>
      <w:r>
        <w:t xml:space="preserve">documento a</w:t>
      </w:r>
      <w:r>
        <w:t xml:space="preserve"> </w:t>
      </w:r>
      <w:r>
        <w:rPr>
          <w:b/>
        </w:rPr>
        <w:t xml:space="preserve">una DTD o XSD</w:t>
      </w:r>
      <w:r>
        <w:t xml:space="preserve"> </w:t>
      </w:r>
      <w:r>
        <w:t xml:space="preserve">respecto a la cual el</w:t>
      </w:r>
      <w:r>
        <w:t xml:space="preserve"> </w:t>
      </w:r>
      <w:r>
        <w:t xml:space="preserve">documento es conforme.</w:t>
      </w:r>
    </w:p>
    <w:p>
      <w:pPr>
        <w:pStyle w:val="Heading2"/>
      </w:pPr>
      <w:bookmarkStart w:id="44" w:name="elementos"/>
      <w:bookmarkEnd w:id="44"/>
      <w:r>
        <w:t xml:space="preserve">Elementos</w:t>
      </w:r>
    </w:p>
    <w:p>
      <w:pPr>
        <w:pStyle w:val="Compact"/>
        <w:numPr>
          <w:numId w:val="1013"/>
          <w:ilvl w:val="0"/>
        </w:numPr>
      </w:pPr>
      <w:r>
        <w:t xml:space="preserve">Es un par de etiquetas de comienzo y final</w:t>
      </w:r>
      <w:r>
        <w:t xml:space="preserve"> </w:t>
      </w:r>
      <w:r>
        <w:t xml:space="preserve">coincidentes que delimita una</w:t>
      </w:r>
      <w:r>
        <w:t xml:space="preserve"> </w:t>
      </w:r>
      <w:r>
        <w:rPr>
          <w:b/>
        </w:rPr>
        <w:t xml:space="preserve">porción de</w:t>
      </w:r>
      <w:r>
        <w:rPr>
          <w:b/>
        </w:rPr>
        <w:t xml:space="preserve"> </w:t>
      </w:r>
      <w:r>
        <w:rPr>
          <w:b/>
        </w:rPr>
        <w:t xml:space="preserve">información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introducción</w:t>
      </w:r>
      <w:r>
        <w:rPr>
          <w:rStyle w:val="KeywordTok"/>
        </w:rPr>
        <w:t xml:space="preserve">&lt;/t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</w:p>
    <w:p>
      <w:pPr>
        <w:pStyle w:val="Heading2"/>
      </w:pPr>
      <w:bookmarkStart w:id="45" w:name="elementos-vacíos"/>
      <w:bookmarkEnd w:id="45"/>
      <w:r>
        <w:t xml:space="preserve">Elementos vacíos</w:t>
      </w:r>
    </w:p>
    <w:p>
      <w:pPr>
        <w:pStyle w:val="Compact"/>
        <w:numPr>
          <w:numId w:val="1014"/>
          <w:ilvl w:val="0"/>
        </w:numPr>
      </w:pPr>
      <w:r>
        <w:t xml:space="preserve">Existen elementos vacíos que no contienen contenido.</w:t>
      </w:r>
    </w:p>
    <w:p>
      <w:pPr>
        <w:pStyle w:val="SourceCode"/>
      </w:pPr>
      <w:r>
        <w:rPr>
          <w:rStyle w:val="KeywordTok"/>
        </w:rPr>
        <w:t xml:space="preserve">&lt;Nombre</w:t>
      </w:r>
      <w:r>
        <w:rPr>
          <w:rStyle w:val="OtherTok"/>
        </w:rPr>
        <w:t xml:space="preserve"> etiqueta</w:t>
      </w:r>
      <w:r>
        <w:rPr>
          <w:rStyle w:val="ErrorTok"/>
        </w:rPr>
        <w:t xml:space="preserve">/&gt;</w:t>
      </w:r>
      <w:r>
        <w:br w:type="textWrapping"/>
      </w:r>
      <w:r>
        <w:rPr>
          <w:rStyle w:val="ErrorTok"/>
        </w:rPr>
        <w:t xml:space="preserve">&lt;Nombre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etiqueta&gt;&lt;/Nombre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</w:t>
      </w:r>
    </w:p>
    <w:p>
      <w:pPr>
        <w:pStyle w:val="Heading2"/>
      </w:pPr>
      <w:bookmarkStart w:id="46" w:name="elementos-anidados"/>
      <w:bookmarkEnd w:id="46"/>
      <w:r>
        <w:t xml:space="preserve">Elementos anidados</w:t>
      </w:r>
    </w:p>
    <w:p>
      <w:pPr>
        <w:numPr>
          <w:numId w:val="1015"/>
          <w:ilvl w:val="0"/>
        </w:numPr>
      </w:pPr>
      <w:r>
        <w:t xml:space="preserve">Los elementos</w:t>
      </w:r>
      <w:r>
        <w:t xml:space="preserve"> </w:t>
      </w:r>
      <w:r>
        <w:rPr>
          <w:b/>
        </w:rPr>
        <w:t xml:space="preserve">se pueden anidar</w:t>
      </w:r>
      <w:r>
        <w:t xml:space="preserve">:</w:t>
      </w:r>
    </w:p>
    <w:p>
      <w:pPr>
        <w:numPr>
          <w:numId w:val="1016"/>
          <w:ilvl w:val="1"/>
        </w:numPr>
      </w:pPr>
      <w:r>
        <w:t xml:space="preserve">Un texto aparece en el contexto de un elemento si</w:t>
      </w:r>
      <w:r>
        <w:t xml:space="preserve"> </w:t>
      </w:r>
      <w:r>
        <w:t xml:space="preserve">aparece entre la etiqueta de inicio y final de dicho</w:t>
      </w:r>
      <w:r>
        <w:t xml:space="preserve"> </w:t>
      </w:r>
      <w:r>
        <w:t xml:space="preserve">elemento.</w:t>
      </w:r>
    </w:p>
    <w:p>
      <w:pPr>
        <w:numPr>
          <w:numId w:val="1016"/>
          <w:ilvl w:val="1"/>
        </w:numPr>
      </w:pPr>
      <w:r>
        <w:t xml:space="preserve">Las etiquetas se anidan correctamente si toda</w:t>
      </w:r>
      <w:r>
        <w:t xml:space="preserve"> </w:t>
      </w:r>
      <w:r>
        <w:t xml:space="preserve">etiqueta de inicio tiene un única etiqueta de</w:t>
      </w:r>
      <w:r>
        <w:t xml:space="preserve"> </w:t>
      </w:r>
      <w:r>
        <w:t xml:space="preserve">finalización coincidente que está en el contexto del</w:t>
      </w:r>
      <w:r>
        <w:t xml:space="preserve"> </w:t>
      </w:r>
      <w:r>
        <w:t xml:space="preserve">mismo elemento padre.</w:t>
      </w:r>
    </w:p>
    <w:p>
      <w:pPr>
        <w:numPr>
          <w:numId w:val="1015"/>
          <w:ilvl w:val="0"/>
        </w:numPr>
      </w:pPr>
      <w:r>
        <w:t xml:space="preserve">Un elemento puede aparecer varias veces en un</w:t>
      </w:r>
      <w:r>
        <w:t xml:space="preserve"> </w:t>
      </w:r>
      <w:r>
        <w:t xml:space="preserve">documento XML.</w:t>
      </w:r>
    </w:p>
    <w:p>
      <w:pPr>
        <w:pStyle w:val="Heading2"/>
      </w:pPr>
      <w:bookmarkStart w:id="47" w:name="ejemplo-anidado"/>
      <w:bookmarkEnd w:id="47"/>
      <w:r>
        <w:t xml:space="preserve">Ejemplo anidado</w:t>
      </w:r>
    </w:p>
    <w:p>
      <w:pPr>
        <w:pStyle w:val="Compact"/>
      </w:pPr>
      <w:r>
        <w:drawing>
          <wp:inline>
            <wp:extent cx="5334000" cy="4742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atributos"/>
      <w:bookmarkEnd w:id="49"/>
      <w:r>
        <w:t xml:space="preserve">Atributos</w:t>
      </w:r>
    </w:p>
    <w:p>
      <w:pPr>
        <w:pStyle w:val="Compact"/>
        <w:numPr>
          <w:numId w:val="1017"/>
          <w:ilvl w:val="0"/>
        </w:numPr>
      </w:pPr>
      <w:r>
        <w:t xml:space="preserve">Las etiquetas de los elementos pueden incluir 1</w:t>
      </w:r>
      <w:r>
        <w:t xml:space="preserve"> </w:t>
      </w:r>
      <w:r>
        <w:t xml:space="preserve">o más</w:t>
      </w:r>
      <w:r>
        <w:t xml:space="preserve"> </w:t>
      </w:r>
      <w:r>
        <w:rPr>
          <w:b/>
        </w:rPr>
        <w:t xml:space="preserve">atributos que representan propiedades</w:t>
      </w:r>
      <w:r>
        <w:t xml:space="preserve"> </w:t>
      </w:r>
      <w:r>
        <w:t xml:space="preserve">de los elementos de la forma Nombre</w:t>
      </w:r>
      <w:r>
        <w:t xml:space="preserve"> </w:t>
      </w:r>
      <w:r>
        <w:t xml:space="preserve">atributo="Valor atributo"</w:t>
      </w:r>
    </w:p>
    <w:p>
      <w:pPr>
        <w:pStyle w:val="SourceCode"/>
      </w:pPr>
      <w:r>
        <w:rPr>
          <w:rStyle w:val="KeywordTok"/>
        </w:rPr>
        <w:t xml:space="preserve">&lt;cuenta</w:t>
      </w:r>
      <w:r>
        <w:rPr>
          <w:rStyle w:val="OtherTok"/>
        </w:rPr>
        <w:t xml:space="preserve"> tipo_cuenta=</w:t>
      </w:r>
      <w:r>
        <w:rPr>
          <w:rStyle w:val="StringTok"/>
        </w:rPr>
        <w:t xml:space="preserve">"corriente"</w:t>
      </w:r>
      <w:r>
        <w:rPr>
          <w:rStyle w:val="KeywordTok"/>
        </w:rPr>
        <w:t xml:space="preserve">&gt;</w:t>
      </w:r>
    </w:p>
    <w:p>
      <w:pPr>
        <w:pStyle w:val="Compact"/>
        <w:numPr>
          <w:numId w:val="1018"/>
          <w:ilvl w:val="0"/>
        </w:numPr>
      </w:pPr>
      <w:r>
        <w:t xml:space="preserve">Los atributos pueden aparecer solamente una</w:t>
      </w:r>
      <w:r>
        <w:t xml:space="preserve"> </w:t>
      </w:r>
      <w:r>
        <w:t xml:space="preserve">vez en una etiqueta dada.</w:t>
      </w:r>
    </w:p>
    <w:p>
      <w:pPr>
        <w:pStyle w:val="Heading2"/>
      </w:pPr>
      <w:bookmarkStart w:id="50" w:name="mezcla"/>
      <w:bookmarkEnd w:id="50"/>
      <w:r>
        <w:t xml:space="preserve">Mezcla</w:t>
      </w:r>
    </w:p>
    <w:p>
      <w:pPr>
        <w:pStyle w:val="Compact"/>
        <w:numPr>
          <w:numId w:val="1019"/>
          <w:ilvl w:val="0"/>
        </w:numPr>
      </w:pPr>
      <w:r>
        <w:t xml:space="preserve">El texto en un documento XML puede estar</w:t>
      </w:r>
      <w:r>
        <w:t xml:space="preserve"> </w:t>
      </w:r>
      <w:r>
        <w:t xml:space="preserve">mezclado con los subelementos de otro</w:t>
      </w:r>
      <w:r>
        <w:t xml:space="preserve"> </w:t>
      </w:r>
      <w:r>
        <w:t xml:space="preserve">elemento.</w:t>
      </w:r>
    </w:p>
    <w:p>
      <w:pPr>
        <w:pStyle w:val="Compact"/>
      </w:pPr>
      <w:r>
        <w:drawing>
          <wp:inline>
            <wp:extent cx="5074276" cy="131364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131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raíz"/>
      <w:bookmarkEnd w:id="52"/>
      <w:r>
        <w:t xml:space="preserve">Raíz</w:t>
      </w:r>
    </w:p>
    <w:p>
      <w:pPr>
        <w:numPr>
          <w:numId w:val="1020"/>
          <w:ilvl w:val="0"/>
        </w:numPr>
      </w:pPr>
      <w:r>
        <w:t xml:space="preserve">Todo documento XML tiene</w:t>
      </w:r>
      <w:r>
        <w:t xml:space="preserve"> </w:t>
      </w:r>
      <w:r>
        <w:rPr>
          <w:b/>
        </w:rPr>
        <w:t xml:space="preserve">un único elemento</w:t>
      </w:r>
      <w:r>
        <w:rPr>
          <w:b/>
        </w:rPr>
        <w:t xml:space="preserve"> </w:t>
      </w:r>
      <w:r>
        <w:rPr>
          <w:b/>
        </w:rPr>
        <w:t xml:space="preserve">raíz</w:t>
      </w:r>
      <w:r>
        <w:t xml:space="preserve"> </w:t>
      </w:r>
      <w:r>
        <w:t xml:space="preserve">que engloba al resto de elementos del</w:t>
      </w:r>
      <w:r>
        <w:t xml:space="preserve"> </w:t>
      </w:r>
      <w:r>
        <w:t xml:space="preserve">documento.</w:t>
      </w:r>
    </w:p>
    <w:p>
      <w:pPr>
        <w:numPr>
          <w:numId w:val="1020"/>
          <w:ilvl w:val="0"/>
        </w:numPr>
      </w:pPr>
      <w:r>
        <w:t xml:space="preserve">En el primer ejemplo el elemento</w:t>
      </w:r>
      <w:r>
        <w:t xml:space="preserve"> </w:t>
      </w:r>
      <w:r>
        <w:t xml:space="preserve"> </w:t>
      </w:r>
      <w:r>
        <w:t xml:space="preserve">era</w:t>
      </w:r>
      <w:r>
        <w:t xml:space="preserve"> </w:t>
      </w:r>
      <w:r>
        <w:t xml:space="preserve">la raíz.</w:t>
      </w:r>
    </w:p>
    <w:p>
      <w:pPr>
        <w:pStyle w:val="Heading2"/>
      </w:pPr>
      <w:bookmarkStart w:id="53" w:name="comentarios"/>
      <w:bookmarkEnd w:id="53"/>
      <w:r>
        <w:t xml:space="preserve">Comentarios</w:t>
      </w:r>
    </w:p>
    <w:p>
      <w:pPr>
        <w:numPr>
          <w:numId w:val="1021"/>
          <w:ilvl w:val="0"/>
        </w:numPr>
      </w:pPr>
      <w:r>
        <w:t xml:space="preserve">Es un texto que se escribe</w:t>
      </w:r>
      <w:r>
        <w:t xml:space="preserve"> </w:t>
      </w:r>
      <w:r>
        <w:rPr>
          <w:b/>
        </w:rPr>
        <w:t xml:space="preserve">entre &lt;!–- y --&gt;</w:t>
      </w:r>
    </w:p>
    <w:p>
      <w:pPr>
        <w:numPr>
          <w:numId w:val="1021"/>
          <w:ilvl w:val="0"/>
        </w:numPr>
      </w:pPr>
      <w:r>
        <w:t xml:space="preserve">La cadena "--" no puede aparecer dentro de un</w:t>
      </w:r>
      <w:r>
        <w:t xml:space="preserve"> </w:t>
      </w:r>
      <w:r>
        <w:t xml:space="preserve">comentario.</w:t>
      </w:r>
    </w:p>
    <w:p>
      <w:pPr>
        <w:numPr>
          <w:numId w:val="1021"/>
          <w:ilvl w:val="0"/>
        </w:numPr>
      </w:pPr>
      <w:r>
        <w:t xml:space="preserve">Los comentarios pueden aparecer en cualquier</w:t>
      </w:r>
      <w:r>
        <w:t xml:space="preserve"> </w:t>
      </w:r>
      <w:r>
        <w:t xml:space="preserve">sitio salvo dentro de declaraciones, etiquetas y</w:t>
      </w:r>
      <w:r>
        <w:t xml:space="preserve"> </w:t>
      </w:r>
      <w:r>
        <w:t xml:space="preserve">dentro de otros comentarios.</w:t>
      </w:r>
    </w:p>
    <w:p>
      <w:pPr>
        <w:pStyle w:val="Heading2"/>
      </w:pPr>
      <w:bookmarkStart w:id="54" w:name="cdata"/>
      <w:bookmarkEnd w:id="54"/>
      <w:r>
        <w:t xml:space="preserve">CDATA</w:t>
      </w:r>
    </w:p>
    <w:p>
      <w:pPr>
        <w:pStyle w:val="Compact"/>
        <w:numPr>
          <w:numId w:val="1022"/>
          <w:ilvl w:val="0"/>
        </w:numPr>
      </w:pPr>
      <w:r>
        <w:t xml:space="preserve">A veces es necesario</w:t>
      </w:r>
      <w:r>
        <w:t xml:space="preserve"> </w:t>
      </w:r>
      <w:r>
        <w:rPr>
          <w:b/>
        </w:rPr>
        <w:t xml:space="preserve">almacenar valores que</w:t>
      </w:r>
      <w:r>
        <w:rPr>
          <w:b/>
        </w:rPr>
        <w:t xml:space="preserve"> </w:t>
      </w:r>
      <w:r>
        <w:rPr>
          <w:b/>
        </w:rPr>
        <w:t xml:space="preserve">contienen etiquetas sin que se interpreten como</w:t>
      </w:r>
      <w:r>
        <w:rPr>
          <w:b/>
        </w:rPr>
        <w:t xml:space="preserve"> </w:t>
      </w:r>
      <w:r>
        <w:rPr>
          <w:b/>
        </w:rPr>
        <w:t xml:space="preserve">etiquetas XML</w:t>
      </w:r>
      <w:r>
        <w:t xml:space="preserve">, es decir como texto normal. Para</w:t>
      </w:r>
      <w:r>
        <w:t xml:space="preserve"> </w:t>
      </w:r>
      <w:r>
        <w:t xml:space="preserve">ello se usa la construcción: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"text-align:center"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![CDATA]</w:t>
      </w:r>
      <w:r>
        <w:rPr>
          <w:rStyle w:val="KeywordTok"/>
        </w:rPr>
        <w:t xml:space="preserve">&lt;cuenta&gt;</w:t>
      </w:r>
      <w:r>
        <w:rPr>
          <w:rStyle w:val="NormalTok"/>
        </w:rPr>
        <w:t xml:space="preserve">…</w:t>
      </w:r>
      <w:r>
        <w:rPr>
          <w:rStyle w:val="KeywordTok"/>
        </w:rPr>
        <w:t xml:space="preserve">&lt;/cuenta&gt;</w:t>
      </w:r>
      <w:r>
        <w:rPr>
          <w:rStyle w:val="NormalTok"/>
        </w:rPr>
        <w:t xml:space="preserve">]]&gt;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a914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5ba4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0" Target="http://www.thomas-bayer.com/sqlrest/CUSTOMER/" TargetMode="External" /><Relationship Type="http://schemas.openxmlformats.org/officeDocument/2006/relationships/hyperlink" Id="rId41" Target="http://www.thomas-bayer.com/sqlrest/CUSTOMER/3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0" Target="http://www.thomas-bayer.com/sqlrest/CUSTOMER/" TargetMode="External" /><Relationship Type="http://schemas.openxmlformats.org/officeDocument/2006/relationships/hyperlink" Id="rId41" Target="http://www.thomas-bayer.com/sqlrest/CUSTOMER/3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XML</dc:title>
  <dc:creator>Adolfo Sanz De Diego</dc:creator>
</cp:coreProperties>
</file>