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4f75ce397e5ee3f6713797254e9b9ddd9249db6"/>
    <w:p>
      <w:pPr>
        <w:pStyle w:val="Heading1"/>
      </w:pPr>
      <w:r>
        <w:t xml:space="preserve">1. BASE LEGAL Y MARCO DEL PROCEDIMIENTO DE VALORACIÓN</w:t>
      </w:r>
    </w:p>
    <w:p>
      <w:pPr>
        <w:pStyle w:val="FirstParagraph"/>
      </w:pPr>
      <w:r>
        <w:t xml:space="preserve">El presente informe se elabora en el marco del procedimiento de adjudicación basado en el Sistema Dinámico de Adquisición SDA 26/2021, relativo a los servicios de desarrollo evolutivo, mantenimiento correctivo, soporte técnico y mejora del ecosistema tecnológico EducaMadrid. Dicho procedimiento se rige por lo dispuesto en la Ley 9/2017, de 8 de noviembre, de Contratos del Sector Público (en adelante, LCSP), así como por las condiciones específicas establecidas en el Pliego de Prescripciones Técnicas Particulares (PPTP) que regula la contratación.</w:t>
      </w:r>
    </w:p>
    <w:p>
      <w:pPr>
        <w:pStyle w:val="BodyText"/>
      </w:pPr>
      <w:r>
        <w:t xml:space="preserve">En particular, la valoración técnica objeto del presente informe se fundamenta en los criterios de adjudicación sujetos a juicio de valor definidos en el apartado 7.2 del PPTP, cuya finalidad es evaluar la calidad de las propuestas técnicas presentadas por los licitadores desde una perspectiva integral que contemple tanto la adecuación de la solución técnica ofertada como la viabilidad organizativa y temporal de su ejecución.</w:t>
      </w:r>
    </w:p>
    <w:p>
      <w:pPr>
        <w:pStyle w:val="BodyText"/>
      </w:pPr>
      <w:r>
        <w:t xml:space="preserve">De conformidad con lo establecido en el artículo 145 de la LCSP, los criterios de adjudicación deben permitir determinar la mejor relación calidad-precio, exigiéndose que su aplicación se realice de forma objetiva, transparente y no discriminatoria. En este sentido, la valoración técnica se ha desarrollado conforme a los principios de objetividad, igualdad de trato, transparencia y proporcionalidad, garantizando que todas las ofertas han sido analizadas bajo un mismo marco metodológico y sin incorporar elementos externos a la documentación presentada por los licitadores.</w:t>
      </w:r>
    </w:p>
    <w:p>
      <w:pPr>
        <w:pStyle w:val="BodyText"/>
      </w:pPr>
      <w:r>
        <w:t xml:space="preserve">Asimismo, resulta de especial relevancia lo dispuesto en el artículo 146.3 de la LCSP, que habilita la fijación de umbrales mínimos en los criterios cualitativos sujetos a juicio de valor. En aplicación de esta previsión normativa, el PPTP establece la obligación de que las ofertas alcancen un nivel mínimo de calidad técnica, fijado en el cincuenta por ciento de la puntuación máxima asignable a dichos criterios, como requisito indispensable para su continuidad en el procedimiento de adjudicación.</w:t>
      </w:r>
    </w:p>
    <w:p>
      <w:pPr>
        <w:pStyle w:val="BodyText"/>
      </w:pPr>
      <w:r>
        <w:t xml:space="preserve">Este umbral no tiene carácter discrecional, sino que constituye un requisito objetivo cuya aplicación debe realizarse de forma automática una vez constatado su incumplimiento. En consecuencia, aquellas ofertas que no alcancen dicho nivel mínimo deben ser excluidas del procedimiento, sin que resulte posible su valoración en fases posteriores relacionadas con criterios evaluables automáticamente.</w:t>
      </w:r>
    </w:p>
    <w:p>
      <w:pPr>
        <w:pStyle w:val="BodyText"/>
      </w:pPr>
      <w:r>
        <w:t xml:space="preserve">Adicionalmente, la valoración realizada se ajusta al principio de evaluabilidad, ampliamente reconocido en la doctrina de los órganos de control de la contratación pública, conforme al cual únicamente pueden ser objeto de valoración aquellos elementos de la oferta que se encuentren suficientemente desarrollados y permitan su verificación objetiva. Este principio resulta especialmente relevante en el presente expediente, dada la complejidad técnica del objeto del contrato y la necesidad de garantizar que las soluciones propuestas puedan ejecutarse en condiciones reales.</w:t>
      </w:r>
    </w:p>
    <w:p>
      <w:pPr>
        <w:pStyle w:val="BodyText"/>
      </w:pPr>
      <w:r>
        <w:t xml:space="preserve">En este contexto, el presente informe integra el análisis comparado de las tres propuestas evaluadas, garantizando la trazabilidad entre los requisitos del pliego, el contenido de las memorias técnicas y la puntuación asignada en cada uno de los subcriterios definidos, con el objetivo de proporcionar una base sólida, objetiva y jurídicamente defendible para la adopción de la decisión final.</w:t>
      </w:r>
    </w:p>
    <w:bookmarkStart w:id="20" w:name="metodología-y-criterios-de-valoración"/>
    <w:p>
      <w:pPr>
        <w:pStyle w:val="Heading2"/>
      </w:pPr>
      <w:r>
        <w:t xml:space="preserve">1.1. METODOLOGÍA Y CRITERIOS DE VALORACIÓN</w:t>
      </w:r>
    </w:p>
    <w:p>
      <w:pPr>
        <w:pStyle w:val="FirstParagraph"/>
      </w:pPr>
      <w:r>
        <w:t xml:space="preserve">La valoración técnica de las propuestas presentadas se ha llevado a cabo en estricta aplicación de los criterios establecidos en el apartado 7.2 del Pliego de Prescripciones Técnicas Particulares, que regula los criterios sujetos a juicio de valor. Estos criterios constituyen un elemento esencial del procedimiento de adjudicación, en la medida en que permiten evaluar la calidad técnica de las ofertas a partir de su contenido y grado de desarrollo.</w:t>
      </w:r>
    </w:p>
    <w:p>
      <w:pPr>
        <w:pStyle w:val="BodyText"/>
      </w:pPr>
      <w:r>
        <w:t xml:space="preserve">El modelo de valoración definido en el PPTP se estructura en dos grandes bloques, que abarcan de manera conjunta tanto la dimensión técnica de la solución ofertada como la capacidad del licitador para organizar y ejecutar el servicio en condiciones reales, y que tienen un pesto total de 30 puntos sobre 100. El primero de estos bloques corresponde a la solución técnica ofertada, con una ponderación máxima de quince puntos, mientras que el segundo se refiere a la planificación del servicio, igualmente valorado con un máximo de quince puntos, configurando un total de treinta puntos sujetos a juicio de valor.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w:t>
            </w:r>
          </w:p>
        </w:tc>
        <w:tc>
          <w:tcPr/>
          <w:p>
            <w:pPr>
              <w:pStyle w:val="Compact"/>
              <w:jc w:val="left"/>
            </w:pPr>
            <w:r>
              <w:rPr>
                <w:bCs/>
                <w:b/>
              </w:rPr>
              <w:t xml:space="preserve">PUNTOS</w:t>
            </w:r>
          </w:p>
        </w:tc>
      </w:tr>
      <w:tr>
        <w:tc>
          <w:tcPr/>
          <w:p>
            <w:pPr>
              <w:pStyle w:val="Compact"/>
              <w:jc w:val="left"/>
            </w:pPr>
            <w:r>
              <w:rPr>
                <w:bCs/>
                <w:b/>
              </w:rPr>
              <w:t xml:space="preserve">Solución técnica ofertada</w:t>
            </w:r>
            <w:r>
              <w:t xml:space="preserve"> </w:t>
            </w:r>
            <w:r>
              <w:t xml:space="preserve">(arquitectura, comprensión de los requisitos, viabilidad, metodología, rendimiento previsible, satisfacción de los requisitos…)</w:t>
            </w:r>
          </w:p>
        </w:tc>
        <w:tc>
          <w:tcPr/>
          <w:p>
            <w:pPr>
              <w:pStyle w:val="Compact"/>
              <w:jc w:val="left"/>
            </w:pPr>
            <w:r>
              <w:rPr>
                <w:bCs/>
                <w:b/>
              </w:rPr>
              <w:t xml:space="preserve">15</w:t>
            </w:r>
          </w:p>
        </w:tc>
      </w:tr>
      <w:tr>
        <w:tc>
          <w:tcPr/>
          <w:p>
            <w:pPr>
              <w:pStyle w:val="Compact"/>
              <w:jc w:val="left"/>
            </w:pPr>
            <w:r>
              <w:rPr>
                <w:bCs/>
                <w:b/>
              </w:rPr>
              <w:t xml:space="preserve">Planificación del servicio</w:t>
            </w:r>
            <w:r>
              <w:t xml:space="preserve"> </w:t>
            </w:r>
            <w:r>
              <w:t xml:space="preserve">(calendario, análisis de riesgos, plan de contingencias, plan de calidad, trazabilidad del servicio…)</w:t>
            </w:r>
          </w:p>
        </w:tc>
        <w:tc>
          <w:tcPr/>
          <w:p>
            <w:pPr>
              <w:pStyle w:val="Compact"/>
              <w:jc w:val="left"/>
            </w:pPr>
            <w:r>
              <w:rPr>
                <w:bCs/>
                <w:b/>
              </w:rPr>
              <w:t xml:space="preserve">15</w:t>
            </w:r>
          </w:p>
        </w:tc>
      </w:tr>
    </w:tbl>
    <w:p>
      <w:pPr>
        <w:pStyle w:val="BodyText"/>
      </w:pPr>
      <w:r>
        <w:t xml:space="preserve">En relación con la</w:t>
      </w:r>
      <w:r>
        <w:t xml:space="preserve"> </w:t>
      </w:r>
      <w:r>
        <w:rPr>
          <w:bCs/>
          <w:b/>
        </w:rPr>
        <w:t xml:space="preserve">solución técnica ofertada</w:t>
      </w:r>
      <w:r>
        <w:t xml:space="preserve">, el PPTP estipula que</w:t>
      </w:r>
      <w:r>
        <w:t xml:space="preserve"> </w:t>
      </w:r>
      <w:r>
        <w:t xml:space="preserve">“</w:t>
      </w:r>
      <w:r>
        <w:rPr>
          <w:iCs/>
          <w:i/>
        </w:rPr>
        <w:t xml:space="preserve">Los licitadores presentarán una memoria técnica descriptiva de la prestación del servicio. En dicha memoria se debe de describir de forma pormenorizada de los trabajos a desarrollar, de forma técnica, funcional, y describiendo la metodología de trabajo.</w:t>
      </w:r>
      <w:r>
        <w:t xml:space="preserve">”</w:t>
      </w:r>
      <w:r>
        <w:t xml:space="preserve">, y la valoración correspondiente se articula a través de seis subcriterios diferenciados que permiten analizar de forma integral la calidad de las propuestas. Estos subcriterios y sus correspondientes valoraciones máximas son:</w:t>
      </w:r>
    </w:p>
    <w:p>
      <w:pPr>
        <w:numPr>
          <w:ilvl w:val="0"/>
          <w:numId w:val="1001"/>
        </w:numPr>
      </w:pPr>
      <w:r>
        <w:t xml:space="preserve">Arquitectura planteada en los distintos subproyectos (</w:t>
      </w:r>
      <w:r>
        <w:rPr>
          <w:bCs/>
          <w:b/>
        </w:rPr>
        <w:t xml:space="preserve">2 puntos</w:t>
      </w:r>
      <w:r>
        <w:t xml:space="preserve">),</w:t>
      </w:r>
    </w:p>
    <w:p>
      <w:pPr>
        <w:numPr>
          <w:ilvl w:val="0"/>
          <w:numId w:val="1001"/>
        </w:numPr>
      </w:pPr>
      <w:r>
        <w:t xml:space="preserve">Grado de comprensión de los requisitos planteados (</w:t>
      </w:r>
      <w:r>
        <w:rPr>
          <w:bCs/>
          <w:b/>
        </w:rPr>
        <w:t xml:space="preserve">2 puntos</w:t>
      </w:r>
      <w:r>
        <w:t xml:space="preserve">),</w:t>
      </w:r>
    </w:p>
    <w:p>
      <w:pPr>
        <w:numPr>
          <w:ilvl w:val="0"/>
          <w:numId w:val="1001"/>
        </w:numPr>
      </w:pPr>
      <w:r>
        <w:t xml:space="preserve">Viabilidad del proyecto en general (</w:t>
      </w:r>
      <w:r>
        <w:rPr>
          <w:bCs/>
          <w:b/>
        </w:rPr>
        <w:t xml:space="preserve">1 punto</w:t>
      </w:r>
      <w:r>
        <w:t xml:space="preserve">),</w:t>
      </w:r>
    </w:p>
    <w:p>
      <w:pPr>
        <w:numPr>
          <w:ilvl w:val="0"/>
          <w:numId w:val="1001"/>
        </w:numPr>
      </w:pPr>
      <w:r>
        <w:t xml:space="preserve">Metodología de trabajo aplicada (</w:t>
      </w:r>
      <w:r>
        <w:rPr>
          <w:bCs/>
          <w:b/>
        </w:rPr>
        <w:t xml:space="preserve">1 punto</w:t>
      </w:r>
      <w:r>
        <w:t xml:space="preserve">),</w:t>
      </w:r>
    </w:p>
    <w:p>
      <w:pPr>
        <w:numPr>
          <w:ilvl w:val="0"/>
          <w:numId w:val="1001"/>
        </w:numPr>
      </w:pPr>
      <w:r>
        <w:t xml:space="preserve">Rendimiento previsible de las distintas soluciones (</w:t>
      </w:r>
      <w:r>
        <w:rPr>
          <w:bCs/>
          <w:b/>
        </w:rPr>
        <w:t xml:space="preserve">1 punto</w:t>
      </w:r>
      <w:r>
        <w:t xml:space="preserve">),</w:t>
      </w:r>
    </w:p>
    <w:p>
      <w:pPr>
        <w:numPr>
          <w:ilvl w:val="0"/>
          <w:numId w:val="1001"/>
        </w:numPr>
      </w:pPr>
      <w:r>
        <w:t xml:space="preserve">Satisfacción de los requisitos (</w:t>
      </w:r>
      <w:r>
        <w:rPr>
          <w:bCs/>
          <w:b/>
        </w:rPr>
        <w:t xml:space="preserve">8 puntos</w:t>
      </w:r>
      <w:r>
        <w:t xml:space="preserve">).</w:t>
      </w:r>
    </w:p>
    <w:p>
      <w:pPr>
        <w:pStyle w:val="FirstParagraph"/>
      </w:pPr>
      <w:r>
        <w:t xml:space="preserve">Cada uno de estos subcriterios se evaluará siguiendo el siguiente árbol de puntuación:</w:t>
      </w:r>
    </w:p>
    <w:p>
      <w:pPr>
        <w:numPr>
          <w:ilvl w:val="0"/>
          <w:numId w:val="1002"/>
        </w:numPr>
      </w:pPr>
      <w:r>
        <w:rPr>
          <w:bCs/>
          <w:b/>
        </w:rPr>
        <w:t xml:space="preserve">EXCELENTE</w:t>
      </w:r>
      <w:r>
        <w:t xml:space="preserve">: La solución técnica aportada describe de forma excelente y completa la arquitectura de los distintos subproyectos. La comprensión de los requisitos planteados es excelente. La viabilidad del proyecto no genera ningún atisbo de dudas. La metodología de trabajo elegida es comúnmente utilizada dentro del ámbito tecnológico y concuerda con las tareas del proyecto. Se justifica de forma convincente un excelente rendimiento de las distintas soluciones aportadas. La solución técnica cumple ampliamente los requisitos del pliego aportando mejoras coherentes y sustanciales de los mismos.</w:t>
      </w:r>
    </w:p>
    <w:p>
      <w:pPr>
        <w:numPr>
          <w:ilvl w:val="0"/>
          <w:numId w:val="1002"/>
        </w:numPr>
      </w:pPr>
      <w:r>
        <w:rPr>
          <w:bCs/>
          <w:b/>
        </w:rPr>
        <w:t xml:space="preserve">ALTA</w:t>
      </w:r>
      <w:r>
        <w:t xml:space="preserve">: La solución técnica aportada describe de forma correcta y completa la arquitectura de los distintos subproyectos. La comprensión de los requisitos planteados es buena. La viabilidad del proyecto no genera dudas. La metodología de trabajo elegida es utilizada dentro del ámbito tecnológico y concuerda con las tareas del proyecto. Se justifica de forma convincente un buen rendimiento de las distintas soluciones aportadas. La solución técnica cumple los requisitos del pliego aportando pocas mejoras de los mismos.</w:t>
      </w:r>
    </w:p>
    <w:p>
      <w:pPr>
        <w:numPr>
          <w:ilvl w:val="0"/>
          <w:numId w:val="1002"/>
        </w:numPr>
      </w:pPr>
      <w:r>
        <w:rPr>
          <w:bCs/>
          <w:b/>
        </w:rPr>
        <w:t xml:space="preserve">MEDIA</w:t>
      </w:r>
      <w:r>
        <w:t xml:space="preserve">: La solución técnica aportada describe de forma completa la arquitectura de los distintos subproyectos. La comprensión de los requisitos planteados es normal. La viabilidad del proyecto puede generar dudas. La metodología de trabajo elegida es utilizada dentro del ámbito tecnológico, pero no concuerda con las tareas del proyecto. Se justifica de forma convincente un rendimiento normal de las distintas soluciones aportadas. La solución técnica cumple los requisitos del pliego aportando muy pocas mejoras de los mismos o mejoras que no son coherentes.</w:t>
      </w:r>
    </w:p>
    <w:p>
      <w:pPr>
        <w:numPr>
          <w:ilvl w:val="0"/>
          <w:numId w:val="1002"/>
        </w:numPr>
      </w:pPr>
      <w:r>
        <w:rPr>
          <w:bCs/>
          <w:b/>
        </w:rPr>
        <w:t xml:space="preserve">BAJA</w:t>
      </w:r>
      <w:r>
        <w:t xml:space="preserve">: La solución técnica aportada describe de forma incorrecta o incompleta la arquitectura de los distintos subproyectos. La comprensión de los requisitos planteados es mala. La viabilidad del proyecto genera dudas. La metodología de trabajo elegida no es utilizada dentro del ámbito tecnológico, aunque concuerda con las tareas del proyecto. Se justifica de forma convincente un mal rendimiento de las distintas soluciones aportadas. La solución técnica cumple justo los requisitos del pliego sin aportar mejoras o mejoras nada coherentes.</w:t>
      </w:r>
    </w:p>
    <w:p>
      <w:pPr>
        <w:numPr>
          <w:ilvl w:val="0"/>
          <w:numId w:val="1002"/>
        </w:numPr>
      </w:pPr>
      <w:r>
        <w:rPr>
          <w:bCs/>
          <w:b/>
        </w:rPr>
        <w:t xml:space="preserve">MUY BAJA</w:t>
      </w:r>
      <w:r>
        <w:t xml:space="preserve">: La solución técnica aportada no describe o lo hace de forma muy incorrecta la arquitectura de los distintos subproyectos. La comprensión de los requisitos planteados es muy mala. La viabilidad del proyecto genera muchas dudas. La metodología de trabajo elegida no es utilizada dentro del ámbito tecnológico y no concuerda con las tareas del proyecto. Se justifica de forma convincente un rendimiento muy malo de las distintas soluciones aportadas. La solución técnica no cumple, o cumple muy justo los requisitos del pliego sin aportar mejoras o mejoras nada coherentes.</w:t>
      </w:r>
    </w:p>
    <w:p>
      <w:pPr>
        <w:pStyle w:val="FirstParagraph"/>
      </w:pPr>
      <w:r>
        <w:t xml:space="preserve">Este primer bloque evalúa fundamentalmente la calidad técnica real de la propuesta, la adecuación al contexto EducaMadrid y el nivel de mejora sobre el pliego.</w:t>
      </w:r>
    </w:p>
    <w:p>
      <w:pPr>
        <w:pStyle w:val="BodyText"/>
      </w:pPr>
      <w:r>
        <w:t xml:space="preserve">Por otra parte, en el PPTP se define el bloque relativo a la</w:t>
      </w:r>
      <w:r>
        <w:t xml:space="preserve"> </w:t>
      </w:r>
      <w:r>
        <w:rPr>
          <w:bCs/>
          <w:b/>
        </w:rPr>
        <w:t xml:space="preserve">planificación del servicio</w:t>
      </w:r>
      <w:r>
        <w:t xml:space="preserve"> </w:t>
      </w:r>
      <w:r>
        <w:t xml:space="preserve">en los siguientes términos: “*Los licitadores presentarán una memoria técnica descriptiva de la prestación del servicio. En dicha memoria se debe de incluir un diagrama de Gantt o similar con un calendario de los trabajos a desarrollar. Así mismo, la memoria deberá de incluir un análisis de riesgos del proyecto, un plan de gestión de contingencias, un plan de gestión de la calidad del servicio, y una descripción de cómo se va a fiscalizar la trazabilidad del servicio**.*”, y se compone, a su vez, de cinco subcriterios orientados a evaluar la capacidad organizativa del licitador. Estos subcriterios y sus correspondientes valoraciones máximas son:</w:t>
      </w:r>
    </w:p>
    <w:p>
      <w:pPr>
        <w:numPr>
          <w:ilvl w:val="0"/>
          <w:numId w:val="1003"/>
        </w:numPr>
      </w:pPr>
      <w:r>
        <w:t xml:space="preserve">Calendario de los trabajos a desarrollar (</w:t>
      </w:r>
      <w:r>
        <w:rPr>
          <w:bCs/>
          <w:b/>
        </w:rPr>
        <w:t xml:space="preserve">11 puntos</w:t>
      </w:r>
      <w:r>
        <w:t xml:space="preserve">),</w:t>
      </w:r>
    </w:p>
    <w:p>
      <w:pPr>
        <w:numPr>
          <w:ilvl w:val="0"/>
          <w:numId w:val="1003"/>
        </w:numPr>
      </w:pPr>
      <w:r>
        <w:t xml:space="preserve">Análisis de riesgos del proyecto (</w:t>
      </w:r>
      <w:r>
        <w:rPr>
          <w:bCs/>
          <w:b/>
        </w:rPr>
        <w:t xml:space="preserve">1 punto</w:t>
      </w:r>
      <w:r>
        <w:t xml:space="preserve">),</w:t>
      </w:r>
    </w:p>
    <w:p>
      <w:pPr>
        <w:numPr>
          <w:ilvl w:val="0"/>
          <w:numId w:val="1003"/>
        </w:numPr>
      </w:pPr>
      <w:r>
        <w:t xml:space="preserve">Plan de gestión de contingencias (</w:t>
      </w:r>
      <w:r>
        <w:rPr>
          <w:bCs/>
          <w:b/>
        </w:rPr>
        <w:t xml:space="preserve">1 punto</w:t>
      </w:r>
      <w:r>
        <w:t xml:space="preserve">),</w:t>
      </w:r>
    </w:p>
    <w:p>
      <w:pPr>
        <w:numPr>
          <w:ilvl w:val="0"/>
          <w:numId w:val="1003"/>
        </w:numPr>
      </w:pPr>
      <w:r>
        <w:t xml:space="preserve">Plan de gestión de la calidad del servicio (</w:t>
      </w:r>
      <w:r>
        <w:rPr>
          <w:bCs/>
          <w:b/>
        </w:rPr>
        <w:t xml:space="preserve">1 punto</w:t>
      </w:r>
      <w:r>
        <w:t xml:space="preserve">),</w:t>
      </w:r>
    </w:p>
    <w:p>
      <w:pPr>
        <w:numPr>
          <w:ilvl w:val="0"/>
          <w:numId w:val="1003"/>
        </w:numPr>
      </w:pPr>
      <w:r>
        <w:t xml:space="preserve">Trazabilidad del servicio (</w:t>
      </w:r>
      <w:r>
        <w:rPr>
          <w:bCs/>
          <w:b/>
        </w:rPr>
        <w:t xml:space="preserve">1 punto</w:t>
      </w:r>
      <w:r>
        <w:t xml:space="preserve">).</w:t>
      </w:r>
    </w:p>
    <w:p>
      <w:pPr>
        <w:pStyle w:val="FirstParagraph"/>
      </w:pPr>
      <w:r>
        <w:t xml:space="preserve">Cada uno de estos subcriterios se evaluará siguiendo el siguiente árbol de puntuación:</w:t>
      </w:r>
    </w:p>
    <w:p>
      <w:pPr>
        <w:numPr>
          <w:ilvl w:val="0"/>
          <w:numId w:val="1004"/>
        </w:numPr>
      </w:pPr>
      <w:r>
        <w:rPr>
          <w:bCs/>
          <w:b/>
        </w:rPr>
        <w:t xml:space="preserve">EXCELENTE</w:t>
      </w:r>
      <w:r>
        <w:t xml:space="preserve">: Excelente nivel de detalle en cuanto a la planificación, mediante un diagrama de Gantt o similar adaptado al proyecto, con muy buen detalle en cuanto a la ejecución de las diferentes tareas, con fechas específicas de cuándo se va a hacer cada tarea teniendo en cuenta el calendario escolar. Las tareas tienen una excelente coherencia en cuanto a su duración y su relación entre ellas para lograr la consecución de hitos y objetivos definidos. Se presenta un excelente análisis de riesgos del proyecto, un excelente plan de gestión de contingencias, un excelente plan de gestión de la calidad del servicio, y una excelente descripción de cómo se va a fiscalizar la trazabilidad del servicio.</w:t>
      </w:r>
    </w:p>
    <w:p>
      <w:pPr>
        <w:numPr>
          <w:ilvl w:val="0"/>
          <w:numId w:val="1004"/>
        </w:numPr>
      </w:pPr>
      <w:r>
        <w:rPr>
          <w:bCs/>
          <w:b/>
        </w:rPr>
        <w:t xml:space="preserve">ALTA</w:t>
      </w:r>
      <w:r>
        <w:t xml:space="preserve">: Buen nivel de detalle en cuanto a la planificación, mediante un diagrama de Gantt o similar adaptado al proyecto, con buen detalle en cuanto a la ejecución de las diferentes tareas. Las tareas tienen una buena coherencia en cuanto a su duración y relación entre ellas para lograr la consecución de hitos y objetivos definidos. Se presenta un buen análisis de riesgos del proyecto, un buen plan de gestión de contingencias, un buen plan de gestión de la calidad del servicio, y una buena descripción de cómo se va a fiscalizar la trazabilidad del servicio.</w:t>
      </w:r>
    </w:p>
    <w:p>
      <w:pPr>
        <w:numPr>
          <w:ilvl w:val="0"/>
          <w:numId w:val="1004"/>
        </w:numPr>
      </w:pPr>
      <w:r>
        <w:rPr>
          <w:bCs/>
          <w:b/>
        </w:rPr>
        <w:t xml:space="preserve">MEDIA</w:t>
      </w:r>
      <w:r>
        <w:t xml:space="preserve">: Detalle básico en cuanto a la planificación, mediante un diagrama de Gantt o similar, con poco detalle en cuanto a la ejecución de las diferentes tareas. Las tareas tienen una poca de coherencia en cuanto a su duración y su relación entre ellas para lograr la consecución de hitos y objetivos definidos. Se presenta un análisis de riesgos del proyecto correcto, un plan de gestión de contingencias correcto, un plan de gestión de la calidad del servicio correcto, y una descripción correcta de cómo se va a fiscalizar la trazabilidad del servicio.</w:t>
      </w:r>
    </w:p>
    <w:p>
      <w:pPr>
        <w:numPr>
          <w:ilvl w:val="0"/>
          <w:numId w:val="1004"/>
        </w:numPr>
      </w:pPr>
      <w:r>
        <w:rPr>
          <w:bCs/>
          <w:b/>
        </w:rPr>
        <w:t xml:space="preserve">BAJA</w:t>
      </w:r>
      <w:r>
        <w:t xml:space="preserve">: Planificación muy básica, mediante un diagrama de Gantt o similar, con tareas genéricas y con poco detalle en cuanto a la ejecución de las diferentes tareas. Las tareas tienen una nula coherencia en cuanto a su duración y su relación entre ellas para lograr la consecución de hitos y objetivos definidos. Se presenta un mal análisis de riesgos del proyecto, un mal plan de gestión de contingencias, un mal plan de gestión de la calidad del servicio, y una mala descripción de cómo se va a fiscalizar la trazabilidad del servicio.</w:t>
      </w:r>
    </w:p>
    <w:p>
      <w:pPr>
        <w:numPr>
          <w:ilvl w:val="0"/>
          <w:numId w:val="1004"/>
        </w:numPr>
      </w:pPr>
      <w:r>
        <w:rPr>
          <w:bCs/>
          <w:b/>
        </w:rPr>
        <w:t xml:space="preserve">MUY BAJA</w:t>
      </w:r>
      <w:r>
        <w:t xml:space="preserve">: Mala planificación, mediante un diagrama de Gantt o similar, con muy poco detalle en cuanto a la ejecución de las diferentes tareas. Las tareas tienen incoherencias en cuanto a su duración y su relación entre ellas para lograr la consecución de hitos y objetivos definidos. Se presenta un muy mal análisis de riesgos del proyecto, un muy mal plan de gestión de contingencias, un muy mal plan de gestión de la calidad del servicio, y una mala descripción de cómo se va a fiscalizar la trazabilidad del servicio.</w:t>
      </w:r>
    </w:p>
    <w:p>
      <w:pPr>
        <w:pStyle w:val="FirstParagraph"/>
      </w:pPr>
      <w:r>
        <w:t xml:space="preserve">El sistema de puntuación previsto en el PPTP presenta un carácter cualitativo basado en rangos continuos, en los que la valoración final se determina mediante la asignación de un nivel de adecuación para cada subcriterio. Estos niveles se corresponden con categorías que van desde un grado</w:t>
      </w:r>
      <w:r>
        <w:t xml:space="preserve"> </w:t>
      </w:r>
      <w:r>
        <w:rPr>
          <w:bCs/>
          <w:b/>
        </w:rPr>
        <w:t xml:space="preserve">excelente</w:t>
      </w:r>
      <w:r>
        <w:t xml:space="preserve"> </w:t>
      </w:r>
      <w:r>
        <w:t xml:space="preserve">de cumplimiento, que permite alcanzar la puntuación máxima, hasta un nivel</w:t>
      </w:r>
      <w:r>
        <w:t xml:space="preserve"> </w:t>
      </w:r>
      <w:r>
        <w:rPr>
          <w:bCs/>
          <w:b/>
        </w:rPr>
        <w:t xml:space="preserve">muy bajo</w:t>
      </w:r>
      <w:r>
        <w:t xml:space="preserve"> </w:t>
      </w:r>
      <w:r>
        <w:t xml:space="preserve">que implica la ausencia de valoración positiva. Este enfoque permite reflejar de forma proporcional el grado real de desarrollo técnico de cada propuesta, evitando tanto valoraciones rígidas como apreciaciones arbitrarias.</w:t>
      </w:r>
    </w:p>
    <w:p>
      <w:pPr>
        <w:pStyle w:val="BodyText"/>
      </w:pPr>
      <w:r>
        <w:t xml:space="preserve">En concreto se establece el siguiente esquema: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EXCELENTE</w:t>
            </w:r>
          </w:p>
        </w:tc>
        <w:tc>
          <w:tcPr/>
          <w:p>
            <w:pPr>
              <w:pStyle w:val="Compact"/>
              <w:jc w:val="left"/>
            </w:pPr>
            <w:r>
              <w:t xml:space="preserve">Hasta el 100% de la puntuación de la sección correspondiente.</w:t>
            </w:r>
          </w:p>
        </w:tc>
      </w:tr>
      <w:tr>
        <w:tc>
          <w:tcPr/>
          <w:p>
            <w:pPr>
              <w:pStyle w:val="Compact"/>
              <w:jc w:val="left"/>
            </w:pPr>
            <w:r>
              <w:rPr>
                <w:bCs/>
                <w:b/>
              </w:rPr>
              <w:t xml:space="preserve">ALTA</w:t>
            </w:r>
          </w:p>
        </w:tc>
        <w:tc>
          <w:tcPr/>
          <w:p>
            <w:pPr>
              <w:pStyle w:val="Compact"/>
              <w:jc w:val="left"/>
            </w:pPr>
            <w:r>
              <w:t xml:space="preserve">Hasta el 75% de la puntuación de la sección correspondiente.</w:t>
            </w:r>
          </w:p>
        </w:tc>
      </w:tr>
      <w:tr>
        <w:tc>
          <w:tcPr/>
          <w:p>
            <w:pPr>
              <w:pStyle w:val="Compact"/>
              <w:jc w:val="left"/>
            </w:pPr>
            <w:r>
              <w:rPr>
                <w:bCs/>
                <w:b/>
              </w:rPr>
              <w:t xml:space="preserve">MEDIA</w:t>
            </w:r>
          </w:p>
        </w:tc>
        <w:tc>
          <w:tcPr/>
          <w:p>
            <w:pPr>
              <w:pStyle w:val="Compact"/>
              <w:jc w:val="left"/>
            </w:pPr>
            <w:r>
              <w:t xml:space="preserve">Hasta el 50% de la puntuación de la sección correspondiente.</w:t>
            </w:r>
          </w:p>
        </w:tc>
      </w:tr>
      <w:tr>
        <w:tc>
          <w:tcPr/>
          <w:p>
            <w:pPr>
              <w:pStyle w:val="Compact"/>
              <w:jc w:val="left"/>
            </w:pPr>
            <w:r>
              <w:rPr>
                <w:bCs/>
                <w:b/>
              </w:rPr>
              <w:t xml:space="preserve">BAJA</w:t>
            </w:r>
          </w:p>
        </w:tc>
        <w:tc>
          <w:tcPr/>
          <w:p>
            <w:pPr>
              <w:pStyle w:val="Compact"/>
              <w:jc w:val="left"/>
            </w:pPr>
            <w:r>
              <w:t xml:space="preserve">Hasta el 25% de la puntuación de la sección correspondiente.</w:t>
            </w:r>
          </w:p>
        </w:tc>
      </w:tr>
      <w:tr>
        <w:tc>
          <w:tcPr/>
          <w:p>
            <w:pPr>
              <w:pStyle w:val="Compact"/>
              <w:jc w:val="left"/>
            </w:pPr>
            <w:r>
              <w:rPr>
                <w:bCs/>
                <w:b/>
              </w:rPr>
              <w:t xml:space="preserve">MUY BAJA</w:t>
            </w:r>
          </w:p>
        </w:tc>
        <w:tc>
          <w:tcPr/>
          <w:p>
            <w:pPr>
              <w:pStyle w:val="Compact"/>
              <w:jc w:val="left"/>
            </w:pPr>
            <w:r>
              <w:t xml:space="preserve">0% de la puntuación de la sección correspondiente.</w:t>
            </w:r>
          </w:p>
        </w:tc>
      </w:tr>
    </w:tbl>
    <w:p>
      <w:pPr>
        <w:pStyle w:val="BodyText"/>
      </w:pPr>
      <w:r>
        <w:t xml:space="preserve">La aplicación de este modelo exige que la valoración se fundamente exclusivamente en elementos verificables contenidos en las memorias técnicas presentadas por los licitadores, no fijándose sólo en lo que dicen, sino en cómo de bien se justifican sus respuestas. En consecuencia, no se han considerado declaraciones genéricas, afirmaciones no desarrolladas o contenidos que no permitan establecer una correspondencia directa con los requisitos del pliego. Este criterio resulta especialmente relevante en la evaluación de propuestas complejas, en las que la diferencia entre un enfoque descriptivo y un desarrollo técnico detallado tiene un impacto determinante en la puntuación final.</w:t>
      </w:r>
    </w:p>
    <w:p>
      <w:pPr>
        <w:pStyle w:val="BodyText"/>
      </w:pPr>
      <w:r>
        <w:t xml:space="preserve">El proceso de evaluación se ha desarrollado en dos fases claramente diferenciadas. En una primera fase, se ha llevado a cabo un análisis técnico exhaustivo del contenido de cada propuesta, examinando el grado de desarrollo de las soluciones planteadas para los distintos sistemas incluidos en el Anexo II, así como su adecuación al entorno específico de EducaMadrid. En una segunda fase, los resultados de dicho análisis se han trasladado al esquema de valoración definido en el PPTP, asignando las puntuaciones correspondientes en función del nivel de adecuación observado en cada subcriterio.</w:t>
      </w:r>
    </w:p>
    <w:p>
      <w:pPr>
        <w:pStyle w:val="BodyText"/>
      </w:pPr>
      <w:r>
        <w:t xml:space="preserve">Este enfoque metodológico garantiza la trazabilidad completa entre el análisis técnico y la puntuación final, permitiendo reconstruir de manera precisa el razonamiento que sustenta cada una de las valoraciones realizadas. Asimismo, asegura la aplicación homogénea de los criterios a todas las ofertas evaluadas, evitando cualquier tipo de desviación que pudiera dar lugar a situaciones de agravio comparativo.</w:t>
      </w:r>
    </w:p>
    <w:p>
      <w:pPr>
        <w:pStyle w:val="BodyText"/>
      </w:pPr>
      <w:r>
        <w:t xml:space="preserve">Finalmente, debe destacarse que la evaluación se ha realizado atendiendo a los principios de proporcionalidad y coherencia, de forma que las fortalezas y debilidades identificadas en cada propuesta se reflejan de manera equilibrada en la puntuación asignada. Este planteamiento permite obtener una valoración fiel del nivel técnico de cada oferta, proporcionando una base objetiva para la comparación entre los licitadores y para la adopción de la decisión final en el procedimiento de adjudicación.</w:t>
      </w:r>
    </w:p>
    <w:bookmarkEnd w:id="20"/>
    <w:bookmarkStart w:id="24" w:name="Xe1a8710a572f676d336b18c917f197d083e9b2f"/>
    <w:p>
      <w:pPr>
        <w:pStyle w:val="Heading2"/>
      </w:pPr>
      <w:r>
        <w:t xml:space="preserve">1.2. ANÁLISIS INDIVIDUALIZADO DE LAS PROPUESTAS</w:t>
      </w:r>
    </w:p>
    <w:bookmarkStart w:id="21" w:name="X784a227da76a59350593dc86c622c8d271a58bf"/>
    <w:p>
      <w:pPr>
        <w:pStyle w:val="Heading3"/>
      </w:pPr>
      <w:r>
        <w:t xml:space="preserve">1.2.1. Análisis de la propuesta presentada por empresa_s S.A.</w:t>
      </w:r>
    </w:p>
    <w:p>
      <w:pPr>
        <w:pStyle w:val="FirstParagraph"/>
      </w:pPr>
      <w:r>
        <w:t xml:space="preserve">La propuesta técnica presentada por empresa_s S.A. se sitúa en un nivel alto de calidad dentro del conjunto de ofertas analizadas, caracterizándose por un elevado grado de madurez técnica, una estructura interna coherente y una clara orientación a la ejecución real de las actuaciones definidas en el Anexo II del pliego. A diferencia de enfoques meramente descriptivos, la memoria técnica desarrollada por este licitador incorpora de forma sistemática soluciones concretas y verificables, así como propuestas de mejora, permitiendo una evaluación objetiva en la práctica totalidad de los subcriterios definidos en el PPTP.</w:t>
      </w:r>
    </w:p>
    <w:p>
      <w:pPr>
        <w:pStyle w:val="BodyText"/>
      </w:pPr>
      <w:r>
        <w:t xml:space="preserve">Desde el punto de vista de la solución técnica, uno de los elementos más destacables es la definición de una arquitectura claramente estructurada, basada en principios de modularidad, desacoplamiento y control de operaciones. Esta arquitectura no se plantea como un modelo genérico, sino que se adapta de forma específica a los distintos sistemas del ecosistema EducaMadrid, incluyendo bloques como Aulas Virtuales, Mediateca, Cloud, correo o videoconferencia. Este enfoque permite establecer una correspondencia directa entre los requisitos del pliego y las soluciones propuestas, reforzando la evaluabilidad de la oferta.</w:t>
      </w:r>
    </w:p>
    <w:p>
      <w:pPr>
        <w:pStyle w:val="BodyText"/>
      </w:pPr>
      <w:r>
        <w:t xml:space="preserve">Asimismo, la propuesta evidencia una comprensión profunda del entorno técnico y operativo del contrato, lo que se traduce en la adopción de soluciones realistas y alineadas con la arquitectura existente. Este aspecto resulta especialmente relevante en un sistema caracterizado por la coexistencia de múltiples plataformas y la necesidad de garantizar la continuidad del servicio. La propuesta evita planteamientos disruptivos o no alineados con el entorno, priorizando la integración controlada y la evolución progresiva del sistema.</w:t>
      </w:r>
    </w:p>
    <w:p>
      <w:pPr>
        <w:pStyle w:val="BodyText"/>
      </w:pPr>
      <w:r>
        <w:t xml:space="preserve">Otro elemento diferencial reside en el grado de desarrollo técnico de las soluciones. La memoria no se limita a enumerar funcionalidades, sino que describe de forma detallada los mecanismos de implementación, incluyendo arquitecturas específicas, tecnologías aplicadas, flujos de integración y procedimientos operativos. Este nivel de concreción permite verificar la viabilidad de las actuaciones y reduce la necesidad de inferencias por parte del órgano evaluador, alineándose plenamente con el principio de evaluabilidad.</w:t>
      </w:r>
    </w:p>
    <w:p>
      <w:pPr>
        <w:pStyle w:val="BodyText"/>
      </w:pPr>
      <w:r>
        <w:t xml:space="preserve">En relación con el cumplimiento de los requisitos del Anexo II, la propuesta alcanza un nivel muy alto de cobertura, desarrollando de forma efectiva la totalidad de los sistemas incluidos en el alcance del contrato. Este cumplimiento no se limita a una reproducción de requisitos, sino que se acompaña de soluciones técnicas adaptadas a cada caso, incorporando además mejoras y elementos de valor añadido que incrementan la calidad global de la oferta.</w:t>
      </w:r>
    </w:p>
    <w:p>
      <w:pPr>
        <w:pStyle w:val="BodyText"/>
      </w:pPr>
      <w:r>
        <w:t xml:space="preserve">Desde el punto de vista del rendimiento, la propuesta presenta un tratamiento específico por sistema, incorporando mecanismos específicos y concretos. Este enfoque demuestra una consideración realista de las condiciones de operación del sistema, lo que contribuye a reforzar la viabilidad técnica de la solución.</w:t>
      </w:r>
    </w:p>
    <w:p>
      <w:pPr>
        <w:pStyle w:val="BodyText"/>
      </w:pPr>
      <w:r>
        <w:t xml:space="preserve">En cuanto a la planificación del servicio, la propuesta incorpora un modelo estructurado basado en fases, hitos y mecanismos de control temporal, incluyendo un diagrama de Gantt realista. Este elemento, junto con la identificación de dependencias, la gestión de riesgos, el plan de calidad y los mecanismos de trazabilidad, permite considerar que la planificación es coherente, evaluable y ajustada a la complejidad del contrato.</w:t>
      </w:r>
    </w:p>
    <w:p>
      <w:pPr>
        <w:pStyle w:val="BodyText"/>
      </w:pPr>
      <w:r>
        <w:t xml:space="preserve">No obstante, desde una perspectiva crítica, debe señalarse que ciertos aspectos podrían haberse desarrollado con un mayor nivel de cuantificación, especialmente en lo relativo al dimensionamiento de recursos, la granularidad en las tareas incluidas en el Gantt o a la parametrización de algunos mecanismos técnicos. Asimismo, aunque la propuesta se sitúa en niveles de calidad altos, no alcanza el máximo absoluto en todos los subcriterios, lo que indica la existencia de cierto margen de mejora en aspectos puntuales.</w:t>
      </w:r>
    </w:p>
    <w:p>
      <w:pPr>
        <w:pStyle w:val="BodyText"/>
      </w:pPr>
      <w:r>
        <w:t xml:space="preserve">En conjunto, la propuesta de empresa_s se caracteriza por su elevado grado de desarrollo técnico, su coherencia interna y su alineación con el entorno real del contrato, lo que justifica la puntuación obtenida y su posicionamiento como la oferta de mayor calidad entre las analizadas.</w:t>
      </w:r>
    </w:p>
    <w:bookmarkEnd w:id="21"/>
    <w:bookmarkStart w:id="22" w:name="X5311e8d903d8c403ad9c38188cdd1a9f39871e9"/>
    <w:p>
      <w:pPr>
        <w:pStyle w:val="Heading3"/>
      </w:pPr>
      <w:r>
        <w:t xml:space="preserve">1.2.2. Resumen ejecutivo de la propuesta presentada por empresa_n</w:t>
      </w:r>
    </w:p>
    <w:p>
      <w:pPr>
        <w:pStyle w:val="FirstParagraph"/>
      </w:pPr>
      <w:r>
        <w:t xml:space="preserve">La propuesta presentada por empresa_n muestra una cobertura funcional amplia del alcance del contrato, en la medida en que identifica la mayoría de los sistemas y proyectos definidos en el Anexo II. Sin embargo, este amplio alcance nominal no se traduce en un desarrollo técnico suficientemente profundo, lo que condiciona de forma significativa su evaluación en los distintos criterios establecidos en el PPTP.</w:t>
      </w:r>
    </w:p>
    <w:p>
      <w:pPr>
        <w:pStyle w:val="BodyText"/>
      </w:pPr>
      <w:r>
        <w:t xml:space="preserve">Desde el punto de vista general, la memoria técnica presenta una estructura formal adecuada y una organización coherente, lo que facilita su lectura. No obstante, el análisis detallado pone de manifiesto que el contenido se articula fundamentalmente en términos descriptivos, reproduciendo en numerosos casos los requisitos del pliego sin aportar soluciones técnicas concretas que permitan acreditar la capacidad real de ejecución.</w:t>
      </w:r>
    </w:p>
    <w:p>
      <w:pPr>
        <w:pStyle w:val="BodyText"/>
      </w:pPr>
      <w:r>
        <w:t xml:space="preserve">Uno de los principales aspectos negativos identificados es la ausencia generalizada de definición de arquitecturas, mecanismos de integración y procedimientos operativos. Aunque se describen funcionalidades, no se detallan los elementos técnicos necesarios para su implementación, lo que impide verificar en algunos casos la viabilidad de las soluciones propuestas. Esta carencia afecta de manera transversal a la muchos de los proyectos analizados.</w:t>
      </w:r>
    </w:p>
    <w:p>
      <w:pPr>
        <w:pStyle w:val="BodyText"/>
      </w:pPr>
      <w:r>
        <w:t xml:space="preserve">Un elemento especialmente relevante en la valoración negativa de la propuesta es la existencia de errores técnicos objetivos en distintos sistemas, que evidencian un conocimiento incompleto o incorrecto del entorno tecnológico, o un mal entendimiento de los requisitos planteados en el Anexo II del PPTP. Estos errores no tienen carácter aislado, sino que se detectan en múltiples bloques, afectando a aspectos críticos como la arquitectura de bases de datos, los mecanismos de sincronización o las tecnologías empleadas.</w:t>
      </w:r>
    </w:p>
    <w:p>
      <w:pPr>
        <w:pStyle w:val="BodyText"/>
      </w:pPr>
      <w:r>
        <w:t xml:space="preserve">Ejemplos significativos de estas deficiencias incluyen la propuesta de soluciones basadas en tecnologías no utilizadas en el entorno real, la incorrecta caracterización de sistemas existentes o la definición de modelos de ejecución incompatibles con los requisitos del pliego, como el planteamiento de procesos síncronos en contextos donde se exige procesamiento asíncrono.</w:t>
      </w:r>
    </w:p>
    <w:p>
      <w:pPr>
        <w:pStyle w:val="BodyText"/>
      </w:pPr>
      <w:r>
        <w:t xml:space="preserve">En relación con la cobertura del Anexo II, aunque se identifican la mayoría de los sistemas, el grado de desarrollo técnico es insuficiente en numerosos casos, detectando carencia de soluciones concretas para algunos sistemas específicos. Este patrón de falta de concreción se reproduce también en los sistemas complementarios, lo que contribuye a una penalización acumulativa en la valoración.</w:t>
      </w:r>
    </w:p>
    <w:p>
      <w:pPr>
        <w:pStyle w:val="BodyText"/>
      </w:pPr>
      <w:r>
        <w:t xml:space="preserve">Desde el punto de vista de la planificación, la propuesta presenta igualmente carencias importantes, al no definir de forma detallada los mecanismos de ejecución, las dependencias entre tareas o las estrategias de control del servicio. En este aspecto cabe destacar la omisión de una leyenda explicativa del diagrama de Gantt presentado, lo que ha impedido la correcta interpretación del mismo afectando enormemente a la valoración de ese subcriterio. Además, aunque se mencionan algunos aspectos organizativos, estos no alcanzan el nivel de detalle necesario para acreditar la viabilidad temporal y operativa del servicio.</w:t>
      </w:r>
    </w:p>
    <w:p>
      <w:pPr>
        <w:pStyle w:val="BodyText"/>
      </w:pPr>
      <w:r>
        <w:t xml:space="preserve">No obstante, deben reconocerse ciertos elementos positivos, como la estructura general de la memoria, la identificación amplia del alcance y una orientación inicial hacia el cumplimiento de los requisitos del pliego. Estos aspectos, aunque insuficientes para obtener una valoración alta, reflejan un cierto nivel de aproximación al objeto del contrato.</w:t>
      </w:r>
    </w:p>
    <w:p>
      <w:pPr>
        <w:pStyle w:val="BodyText"/>
      </w:pPr>
      <w:r>
        <w:t xml:space="preserve">En términos globales, la propuesta de empresa_n se sitúa en un nivel medio-bajo de calidad técnica, caracterizado por un planteamiento descriptivo, la ausencia de desarrollo técnico suficiente y la existencia de errores conceptuales. Estas deficiencias limitan de forma determinante su evaluabilidad y justifican la puntuación obtenida, que no alcanza el umbral mínimo exigido.</w:t>
      </w:r>
    </w:p>
    <w:bookmarkEnd w:id="22"/>
    <w:bookmarkStart w:id="23" w:name="X755ee0b474c29bb13da52eca4fa7275191623b1"/>
    <w:p>
      <w:pPr>
        <w:pStyle w:val="Heading3"/>
      </w:pPr>
      <w:r>
        <w:t xml:space="preserve">1.2.3. Resumen ejecutivo de la propuesta presentada por empresa_u</w:t>
      </w:r>
    </w:p>
    <w:p>
      <w:pPr>
        <w:pStyle w:val="FirstParagraph"/>
      </w:pPr>
      <w:r>
        <w:t xml:space="preserve">La propuesta presentada por la empresa_u se caracteriza por la existencia de deficiencias estructurales que afectan de manera directa a su evaluabilidad, situándola en el nivel más bajo de calidad técnica entre las ofertas analizadas. A pesar de presentar una memoria formalmente extensa, el contenido técnico real resulta claramente insuficiente en relación con la complejidad y el alcance del contrato.</w:t>
      </w:r>
    </w:p>
    <w:p>
      <w:pPr>
        <w:pStyle w:val="BodyText"/>
      </w:pPr>
      <w:r>
        <w:t xml:space="preserve">El análisis de la documentación pone de manifiesto una falta de correspondencia entre la extensión del documento y su contenido efectivo, predominando de forma general las descripciones genéricas sobre el desarrollo de soluciones técnicas concretas. Este enfoque se traduce en la imposibilidad de evaluar una parte sustancial de la propuesta, al carecer de elementos verificables que permitan acreditar el cumplimiento de los requisitos del pliego.</w:t>
      </w:r>
    </w:p>
    <w:p>
      <w:pPr>
        <w:pStyle w:val="BodyText"/>
      </w:pPr>
      <w:r>
        <w:t xml:space="preserve">Uno de los aspectos más críticos identificados es la ausencia de desarrollo técnico en la mayoría de los proyectos incluidos en el Anexo II. La propuesta desarrolla únicamente de forma parcial un número reducido de proyectos, mientras que el resto se limita a menciones sin contenido técnico o incluso a referencias explícitas a desarrollos futuros que no se encuentran incluidos en la documentación presentada.</w:t>
      </w:r>
    </w:p>
    <w:p>
      <w:pPr>
        <w:pStyle w:val="BodyText"/>
      </w:pPr>
      <w:r>
        <w:t xml:space="preserve">Este hecho tiene una implicación directa desde el punto de vista de la valoración, ya que, conforme al principio de evaluabilidad, únicamente pueden valorarse aquellos elementos que estén efectivamente desarrollados en la oferta. En consecuencia, una parte significativa del alcance del contrato no puede ser considerada en la evaluación, lo que determina una reducción sustancial de la puntuación.</w:t>
      </w:r>
    </w:p>
    <w:p>
      <w:pPr>
        <w:pStyle w:val="BodyText"/>
      </w:pPr>
      <w:r>
        <w:t xml:space="preserve">Adicionalmente, se detecta la ausencia de elementos técnicos básicos, tales como arquitecturas definidas, tecnologías específicas, mecanismos de integración o procedimientos operativos. Esta carencia impide verificar la viabilidad de las soluciones planteadas y limita la capacidad de analizar su adecuación al entorno real del contrato.</w:t>
      </w:r>
    </w:p>
    <w:p>
      <w:pPr>
        <w:pStyle w:val="BodyText"/>
      </w:pPr>
      <w:r>
        <w:t xml:space="preserve">Un elemento especialmente significativo es la presencia de contenido no finalizado dentro de la memoria, incluyendo anotaciones internas que indican la necesidad de completar determinados apartados en versiones posteriores. Esta circunstancia evidencia que el documento no ha sido adecuadamente finalizado ni ha sido validado por parte de la empresa antes de su presentación, lo que afecta tanto a su coherencia interna como a su fiabilidad técnica.</w:t>
      </w:r>
    </w:p>
    <w:p>
      <w:pPr>
        <w:pStyle w:val="BodyText"/>
      </w:pPr>
      <w:r>
        <w:t xml:space="preserve">En relación con la comprensión de los requisitos, se identifican incoherencias técnicas y planteamientos no adaptados al entorno de EducaMadrid, así como la utilización de metodologías estándar sin una adaptación real al contexto del contrato. Este aspecto refuerza la percepción de una comprensión parcial o insuficiente de las condiciones de ejecución.</w:t>
      </w:r>
    </w:p>
    <w:p>
      <w:pPr>
        <w:pStyle w:val="BodyText"/>
      </w:pPr>
      <w:r>
        <w:t xml:space="preserve">Desde el punto de vista de la planificación, la propuesta presenta una deficiencia crítica consistente en la ausencia de un diagrama de Gantt o herramienta equivalente. La planificación se describe de forma genérica mediante fases, sin detallar la secuencia de actividades, las dependencias o la asignación de recursos, lo que impide verificar la viabilidad temporal del servicio.</w:t>
      </w:r>
    </w:p>
    <w:p>
      <w:pPr>
        <w:pStyle w:val="BodyText"/>
      </w:pPr>
      <w:r>
        <w:t xml:space="preserve">No obstante, deben reconocerse algunos elementos evaluables, como la inclusión de apartados metodológicos o referencias a la gestión de riesgos y calidad, que presentan una estructura formal correcta, aunque genérica. Estos elementos han sido valorados de forma proporcional dentro de un conjunto global claramente insuficiente.</w:t>
      </w:r>
    </w:p>
    <w:p>
      <w:pPr>
        <w:pStyle w:val="BodyText"/>
      </w:pPr>
      <w:r>
        <w:t xml:space="preserve">En conjunto, la propuesta de la empresa_u se caracteriza por una falta de desarrollo técnico generalizada, la existencia de contenido no finalizado y la ausencia de planificación verificable. Estas deficiencias no son puntuales, sino estructurales, afectando a la mayor parte de la memoria y determinando una puntuación muy baja que la sitúa claramente por debajo del umbral mínimo exigido.</w:t>
      </w:r>
    </w:p>
    <w:bookmarkEnd w:id="23"/>
    <w:bookmarkEnd w:id="24"/>
    <w:bookmarkStart w:id="29" w:name="X22c93f171ced9ecbf1b103c4a23d4e20a3cc6cf"/>
    <w:p>
      <w:pPr>
        <w:pStyle w:val="Heading2"/>
      </w:pPr>
      <w:r>
        <w:t xml:space="preserve">1.3. ANÁLISIS DETALLADO COMPARADO Y VALORACIÓN GLOBAL</w:t>
      </w:r>
    </w:p>
    <w:bookmarkStart w:id="25" w:name="introducción-comparada-de-las-propuestas"/>
    <w:p>
      <w:pPr>
        <w:pStyle w:val="Heading3"/>
      </w:pPr>
      <w:r>
        <w:t xml:space="preserve">1.3.1. Introducción comparada de las propuestas</w:t>
      </w:r>
    </w:p>
    <w:p>
      <w:pPr>
        <w:pStyle w:val="FirstParagraph"/>
      </w:pPr>
      <w:r>
        <w:t xml:space="preserve">El análisis conjunto de las tres propuestas presentadas pone de manifiesto la existencia de diferencias significativas tanto en el grado de desarrollo técnico como en la capacidad de ejecución real de las soluciones planteadas. Estas diferencias no se limitan a aspectos puntuales o subcriterios específicos, sino que presentan un carácter estructural que afecta de manera global a la calidad de las ofertas.</w:t>
      </w:r>
    </w:p>
    <w:p>
      <w:pPr>
        <w:pStyle w:val="BodyText"/>
      </w:pPr>
      <w:r>
        <w:t xml:space="preserve">En primer lugar, la propuesta de empresa_s se sitúa claramente en un nivel superior respecto a las demás, destacando por su coherencia técnica, su alto grado de desarrollo y su plena evaluabilidad. La oferta no solo aborda de forma completa los requisitos del Anexo II, sino que lo hace mediante soluciones específicas, adaptadas al entorno real del contrato y acompañadas de mecanismos de control, integración y validación. Esta circunstancia permite considerar que la propuesta ofrece garantías suficientes para la correcta ejecución del servicio.</w:t>
      </w:r>
    </w:p>
    <w:p>
      <w:pPr>
        <w:pStyle w:val="BodyText"/>
      </w:pPr>
      <w:r>
        <w:t xml:space="preserve">En segundo lugar, la propuesta de empresa_n ocupa una posición intermedia, caracterizada por una cobertura funcional amplia pero insuficientemente desarrollada desde el punto de vista técnico. Aunque identifica la mayoría de los requerimientos, no consigue traducirlos en soluciones concretas y verificables, presentando además errores conceptuales relevantes que afectan a su viabilidad. Esta combinación de factores limita de forma significativa su evaluabilidad y su adecuación al contrato.</w:t>
      </w:r>
    </w:p>
    <w:p>
      <w:pPr>
        <w:pStyle w:val="BodyText"/>
      </w:pPr>
      <w:r>
        <w:t xml:space="preserve">Por último, la propuesta presentada por la empresa_u se sitúa en el nivel más bajo, debido a deficiencias estructurales que afectan a la mayor parte de su contenido. La falta de desarrollo técnico, la presencia de contenido no finalizado y la ausencia de planificación verificable impiden evaluar una parte sustancial de la oferta, lo que determina su valoración claramente insuficiente.</w:t>
      </w:r>
    </w:p>
    <w:p>
      <w:pPr>
        <w:pStyle w:val="BodyText"/>
      </w:pPr>
      <w:r>
        <w:t xml:space="preserve">Desde una perspectiva comparada, puede afirmarse que mientras empresa_s presenta una propuesta técnica completa, coherente y ejecutable, empresa_n ofrece una aproximación parcial con carencias relevantes, y la empresa_u presenta una oferta en la que la evaluabilidad se encuentra gravemente comprometida. Estas diferencias se reflejan de forma directa en las puntuaciones obtenidas y justifican la divergencia en la valoración final.</w:t>
      </w:r>
    </w:p>
    <w:bookmarkEnd w:id="25"/>
    <w:bookmarkStart w:id="26" w:name="X9a1be7f5dec44457dabd5ecb88806689fd677f9"/>
    <w:p>
      <w:pPr>
        <w:pStyle w:val="Heading3"/>
      </w:pPr>
      <w:r>
        <w:t xml:space="preserve">1.3.2. Tabla comparativa de la solución técnica ofertada</w:t>
      </w:r>
    </w:p>
    <w:p>
      <w:pPr>
        <w:pStyle w:val="FirstParagraph"/>
      </w:pPr>
      <w:r>
        <w:t xml:space="preserve">A continuación, se presenta la valoración comparada de los subcriterios correspondientes al bloque de solución técnica ofertada, incluyendo tanto la puntuación cuantitativa como el nivel cualitativo asociado conforme al modelo del PPTP.</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Subcriterio</w:t>
            </w:r>
          </w:p>
        </w:tc>
        <w:tc>
          <w:tcPr/>
          <w:p>
            <w:pPr>
              <w:pStyle w:val="Compact"/>
              <w:jc w:val="left"/>
            </w:pPr>
            <w:r>
              <w:rPr>
                <w:bCs/>
                <w:b/>
              </w:rPr>
              <w:t xml:space="preserve">Puntuación máxima</w:t>
            </w:r>
          </w:p>
        </w:tc>
        <w:tc>
          <w:tcPr/>
          <w:p>
            <w:pPr>
              <w:pStyle w:val="Compact"/>
              <w:jc w:val="left"/>
            </w:pPr>
            <w:r>
              <w:rPr>
                <w:bCs/>
                <w:b/>
              </w:rPr>
              <w:t xml:space="preserve">empresa_s</w:t>
            </w:r>
          </w:p>
        </w:tc>
        <w:tc>
          <w:tcPr/>
          <w:p>
            <w:pPr>
              <w:pStyle w:val="Compact"/>
              <w:jc w:val="left"/>
            </w:pPr>
            <w:r>
              <w:rPr>
                <w:bCs/>
                <w:b/>
              </w:rPr>
              <w:t xml:space="preserve">Valoración</w:t>
            </w:r>
          </w:p>
        </w:tc>
        <w:tc>
          <w:tcPr/>
          <w:p>
            <w:pPr>
              <w:pStyle w:val="Compact"/>
              <w:jc w:val="left"/>
            </w:pPr>
            <w:r>
              <w:rPr>
                <w:bCs/>
                <w:b/>
              </w:rPr>
              <w:t xml:space="preserve">empresa_n</w:t>
            </w:r>
          </w:p>
        </w:tc>
        <w:tc>
          <w:tcPr/>
          <w:p>
            <w:pPr>
              <w:pStyle w:val="Compact"/>
              <w:jc w:val="left"/>
            </w:pPr>
            <w:r>
              <w:rPr>
                <w:bCs/>
                <w:b/>
              </w:rPr>
              <w:t xml:space="preserve">Valoración</w:t>
            </w:r>
          </w:p>
        </w:tc>
        <w:tc>
          <w:tcPr/>
          <w:p>
            <w:pPr>
              <w:pStyle w:val="Compact"/>
              <w:jc w:val="left"/>
            </w:pPr>
            <w:r>
              <w:rPr>
                <w:bCs/>
                <w:b/>
              </w:rPr>
              <w:t xml:space="preserve">empresa_u</w:t>
            </w:r>
          </w:p>
        </w:tc>
        <w:tc>
          <w:tcPr/>
          <w:p>
            <w:pPr>
              <w:pStyle w:val="Compact"/>
              <w:jc w:val="left"/>
            </w:pPr>
            <w:r>
              <w:rPr>
                <w:bCs/>
                <w:b/>
              </w:rPr>
              <w:t xml:space="preserve">Valoración</w:t>
            </w:r>
          </w:p>
        </w:tc>
      </w:tr>
      <w:tr>
        <w:tc>
          <w:tcPr/>
          <w:p>
            <w:pPr>
              <w:pStyle w:val="Compact"/>
              <w:jc w:val="left"/>
            </w:pPr>
            <w:r>
              <w:t xml:space="preserve">Arquitectura</w:t>
            </w:r>
          </w:p>
        </w:tc>
        <w:tc>
          <w:tcPr/>
          <w:p>
            <w:pPr>
              <w:pStyle w:val="Compact"/>
              <w:jc w:val="left"/>
            </w:pPr>
            <w:r>
              <w:t xml:space="preserve">2</w:t>
            </w:r>
          </w:p>
        </w:tc>
        <w:tc>
          <w:tcPr/>
          <w:p>
            <w:pPr>
              <w:pStyle w:val="Compact"/>
              <w:jc w:val="left"/>
            </w:pPr>
            <w:r>
              <w:t xml:space="preserve">1,80</w:t>
            </w:r>
          </w:p>
        </w:tc>
        <w:tc>
          <w:tcPr/>
          <w:p>
            <w:pPr>
              <w:pStyle w:val="Compact"/>
              <w:jc w:val="left"/>
            </w:pPr>
            <w:r>
              <w:t xml:space="preserve">Excelente</w:t>
            </w:r>
          </w:p>
        </w:tc>
        <w:tc>
          <w:tcPr/>
          <w:p>
            <w:pPr>
              <w:pStyle w:val="Compact"/>
              <w:jc w:val="left"/>
            </w:pPr>
            <w:r>
              <w:t xml:space="preserve">1,00</w:t>
            </w:r>
          </w:p>
        </w:tc>
        <w:tc>
          <w:tcPr/>
          <w:p>
            <w:pPr>
              <w:pStyle w:val="Compact"/>
              <w:jc w:val="left"/>
            </w:pPr>
            <w:r>
              <w:t xml:space="preserve">Media-Alta</w:t>
            </w:r>
          </w:p>
        </w:tc>
        <w:tc>
          <w:tcPr/>
          <w:p>
            <w:pPr>
              <w:pStyle w:val="Compact"/>
              <w:jc w:val="left"/>
            </w:pPr>
            <w:r>
              <w:t xml:space="preserve">0,30</w:t>
            </w:r>
          </w:p>
        </w:tc>
        <w:tc>
          <w:tcPr/>
          <w:p>
            <w:pPr>
              <w:pStyle w:val="Compact"/>
              <w:jc w:val="left"/>
            </w:pPr>
            <w:r>
              <w:t xml:space="preserve">Media</w:t>
            </w:r>
          </w:p>
        </w:tc>
      </w:tr>
      <w:tr>
        <w:tc>
          <w:tcPr/>
          <w:p>
            <w:pPr>
              <w:pStyle w:val="Compact"/>
              <w:jc w:val="left"/>
            </w:pPr>
            <w:r>
              <w:t xml:space="preserve">Comprensión de requisitos</w:t>
            </w:r>
          </w:p>
        </w:tc>
        <w:tc>
          <w:tcPr/>
          <w:p>
            <w:pPr>
              <w:pStyle w:val="Compact"/>
              <w:jc w:val="left"/>
            </w:pPr>
            <w:r>
              <w:t xml:space="preserve">2</w:t>
            </w:r>
          </w:p>
        </w:tc>
        <w:tc>
          <w:tcPr/>
          <w:p>
            <w:pPr>
              <w:pStyle w:val="Compact"/>
              <w:jc w:val="left"/>
            </w:pPr>
            <w:r>
              <w:t xml:space="preserve">1,90</w:t>
            </w:r>
          </w:p>
        </w:tc>
        <w:tc>
          <w:tcPr/>
          <w:p>
            <w:pPr>
              <w:pStyle w:val="Compact"/>
              <w:jc w:val="left"/>
            </w:pPr>
            <w:r>
              <w:t xml:space="preserve">Excelente</w:t>
            </w:r>
          </w:p>
        </w:tc>
        <w:tc>
          <w:tcPr/>
          <w:p>
            <w:pPr>
              <w:pStyle w:val="Compact"/>
              <w:jc w:val="left"/>
            </w:pPr>
            <w:r>
              <w:t xml:space="preserve">1,00</w:t>
            </w:r>
          </w:p>
        </w:tc>
        <w:tc>
          <w:tcPr/>
          <w:p>
            <w:pPr>
              <w:pStyle w:val="Compact"/>
              <w:jc w:val="left"/>
            </w:pPr>
            <w:r>
              <w:t xml:space="preserve">Medio-Alta</w:t>
            </w:r>
          </w:p>
        </w:tc>
        <w:tc>
          <w:tcPr/>
          <w:p>
            <w:pPr>
              <w:pStyle w:val="Compact"/>
              <w:jc w:val="left"/>
            </w:pPr>
            <w:r>
              <w:t xml:space="preserve">0,30</w:t>
            </w:r>
          </w:p>
        </w:tc>
        <w:tc>
          <w:tcPr/>
          <w:p>
            <w:pPr>
              <w:pStyle w:val="Compact"/>
              <w:jc w:val="left"/>
            </w:pPr>
            <w:r>
              <w:t xml:space="preserve">Media</w:t>
            </w:r>
          </w:p>
        </w:tc>
      </w:tr>
      <w:tr>
        <w:tc>
          <w:tcPr/>
          <w:p>
            <w:pPr>
              <w:pStyle w:val="Compact"/>
              <w:jc w:val="left"/>
            </w:pPr>
            <w:r>
              <w:t xml:space="preserve">Viabilidad</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0,40</w:t>
            </w:r>
          </w:p>
        </w:tc>
        <w:tc>
          <w:tcPr/>
          <w:p>
            <w:pPr>
              <w:pStyle w:val="Compact"/>
              <w:jc w:val="left"/>
            </w:pPr>
            <w:r>
              <w:t xml:space="preserve">Media</w:t>
            </w:r>
          </w:p>
        </w:tc>
        <w:tc>
          <w:tcPr/>
          <w:p>
            <w:pPr>
              <w:pStyle w:val="Compact"/>
              <w:jc w:val="left"/>
            </w:pPr>
            <w:r>
              <w:t xml:space="preserve">0,20</w:t>
            </w:r>
          </w:p>
        </w:tc>
        <w:tc>
          <w:tcPr/>
          <w:p>
            <w:pPr>
              <w:pStyle w:val="Compact"/>
              <w:jc w:val="left"/>
            </w:pPr>
            <w:r>
              <w:t xml:space="preserve">Baja</w:t>
            </w:r>
          </w:p>
        </w:tc>
      </w:tr>
      <w:tr>
        <w:tc>
          <w:tcPr/>
          <w:p>
            <w:pPr>
              <w:pStyle w:val="Compact"/>
              <w:jc w:val="left"/>
            </w:pPr>
            <w:r>
              <w:t xml:space="preserve">Metodología</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0,40</w:t>
            </w:r>
          </w:p>
        </w:tc>
        <w:tc>
          <w:tcPr/>
          <w:p>
            <w:pPr>
              <w:pStyle w:val="Compact"/>
              <w:jc w:val="left"/>
            </w:pPr>
            <w:r>
              <w:t xml:space="preserve">Media</w:t>
            </w:r>
          </w:p>
        </w:tc>
        <w:tc>
          <w:tcPr/>
          <w:p>
            <w:pPr>
              <w:pStyle w:val="Compact"/>
              <w:jc w:val="left"/>
            </w:pPr>
            <w:r>
              <w:t xml:space="preserve">0,40</w:t>
            </w:r>
          </w:p>
        </w:tc>
        <w:tc>
          <w:tcPr/>
          <w:p>
            <w:pPr>
              <w:pStyle w:val="Compact"/>
              <w:jc w:val="left"/>
            </w:pPr>
            <w:r>
              <w:t xml:space="preserve">Media</w:t>
            </w:r>
          </w:p>
        </w:tc>
      </w:tr>
      <w:tr>
        <w:tc>
          <w:tcPr/>
          <w:p>
            <w:pPr>
              <w:pStyle w:val="Compact"/>
              <w:jc w:val="left"/>
            </w:pPr>
            <w:r>
              <w:t xml:space="preserve">Rendimiento</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0,40</w:t>
            </w:r>
          </w:p>
        </w:tc>
        <w:tc>
          <w:tcPr/>
          <w:p>
            <w:pPr>
              <w:pStyle w:val="Compact"/>
              <w:jc w:val="left"/>
            </w:pPr>
            <w:r>
              <w:t xml:space="preserve">Media</w:t>
            </w:r>
          </w:p>
        </w:tc>
        <w:tc>
          <w:tcPr/>
          <w:p>
            <w:pPr>
              <w:pStyle w:val="Compact"/>
              <w:jc w:val="left"/>
            </w:pPr>
            <w:r>
              <w:t xml:space="preserve">0,20</w:t>
            </w:r>
          </w:p>
        </w:tc>
        <w:tc>
          <w:tcPr/>
          <w:p>
            <w:pPr>
              <w:pStyle w:val="Compact"/>
              <w:jc w:val="left"/>
            </w:pPr>
            <w:r>
              <w:t xml:space="preserve">Baja</w:t>
            </w:r>
          </w:p>
        </w:tc>
      </w:tr>
      <w:tr>
        <w:tc>
          <w:tcPr/>
          <w:p>
            <w:pPr>
              <w:pStyle w:val="Compact"/>
              <w:jc w:val="left"/>
            </w:pPr>
            <w:r>
              <w:t xml:space="preserve">Satisfacción requisitos</w:t>
            </w:r>
          </w:p>
        </w:tc>
        <w:tc>
          <w:tcPr/>
          <w:p>
            <w:pPr>
              <w:pStyle w:val="Compact"/>
              <w:jc w:val="left"/>
            </w:pPr>
            <w:r>
              <w:t xml:space="preserve">8</w:t>
            </w:r>
          </w:p>
        </w:tc>
        <w:tc>
          <w:tcPr/>
          <w:p>
            <w:pPr>
              <w:pStyle w:val="Compact"/>
              <w:jc w:val="left"/>
            </w:pPr>
            <w:r>
              <w:t xml:space="preserve">7,20</w:t>
            </w:r>
          </w:p>
        </w:tc>
        <w:tc>
          <w:tcPr/>
          <w:p>
            <w:pPr>
              <w:pStyle w:val="Compact"/>
              <w:jc w:val="left"/>
            </w:pPr>
            <w:r>
              <w:t xml:space="preserve">Excelente</w:t>
            </w:r>
          </w:p>
        </w:tc>
        <w:tc>
          <w:tcPr/>
          <w:p>
            <w:pPr>
              <w:pStyle w:val="Compact"/>
              <w:jc w:val="left"/>
            </w:pPr>
            <w:r>
              <w:t xml:space="preserve">2,50</w:t>
            </w:r>
          </w:p>
        </w:tc>
        <w:tc>
          <w:tcPr/>
          <w:p>
            <w:pPr>
              <w:pStyle w:val="Compact"/>
              <w:jc w:val="left"/>
            </w:pPr>
            <w:r>
              <w:t xml:space="preserve">Media</w:t>
            </w:r>
          </w:p>
        </w:tc>
        <w:tc>
          <w:tcPr/>
          <w:p>
            <w:pPr>
              <w:pStyle w:val="Compact"/>
              <w:jc w:val="left"/>
            </w:pPr>
            <w:r>
              <w:t xml:space="preserve">0,80</w:t>
            </w:r>
          </w:p>
        </w:tc>
        <w:tc>
          <w:tcPr/>
          <w:p>
            <w:pPr>
              <w:pStyle w:val="Compact"/>
              <w:jc w:val="left"/>
            </w:pPr>
            <w:r>
              <w:t xml:space="preserve">Baja</w:t>
            </w:r>
          </w:p>
        </w:tc>
      </w:tr>
      <w:tr>
        <w:tc>
          <w:tcPr/>
          <w:p>
            <w:pPr>
              <w:pStyle w:val="Compact"/>
              <w:jc w:val="left"/>
            </w:pPr>
            <w:r>
              <w:rPr>
                <w:bCs/>
                <w:b/>
              </w:rPr>
              <w:t xml:space="preserve">Total</w:t>
            </w:r>
          </w:p>
        </w:tc>
        <w:tc>
          <w:tcPr/>
          <w:p>
            <w:pPr>
              <w:pStyle w:val="Compact"/>
              <w:jc w:val="left"/>
            </w:pPr>
            <w:r>
              <w:rPr>
                <w:bCs/>
                <w:b/>
              </w:rPr>
              <w:t xml:space="preserve">15</w:t>
            </w:r>
          </w:p>
        </w:tc>
        <w:tc>
          <w:tcPr/>
          <w:p>
            <w:pPr>
              <w:pStyle w:val="Compact"/>
              <w:jc w:val="left"/>
            </w:pPr>
            <w:r>
              <w:rPr>
                <w:bCs/>
                <w:b/>
              </w:rPr>
              <w:t xml:space="preserve">13,60</w:t>
            </w:r>
          </w:p>
        </w:tc>
        <w:tc>
          <w:tcPr/>
          <w:p>
            <w:pPr>
              <w:pStyle w:val="Compact"/>
              <w:jc w:val="left"/>
            </w:pPr>
            <w:r>
              <w:rPr>
                <w:bCs/>
                <w:b/>
              </w:rPr>
              <w:t xml:space="preserve">Excelente</w:t>
            </w:r>
          </w:p>
        </w:tc>
        <w:tc>
          <w:tcPr/>
          <w:p>
            <w:pPr>
              <w:pStyle w:val="Compact"/>
              <w:jc w:val="left"/>
            </w:pPr>
            <w:r>
              <w:rPr>
                <w:bCs/>
                <w:b/>
              </w:rPr>
              <w:t xml:space="preserve">5,70</w:t>
            </w:r>
          </w:p>
        </w:tc>
        <w:tc>
          <w:tcPr/>
          <w:p>
            <w:pPr>
              <w:pStyle w:val="Compact"/>
              <w:jc w:val="left"/>
            </w:pPr>
            <w:r>
              <w:rPr>
                <w:bCs/>
                <w:b/>
              </w:rPr>
              <w:t xml:space="preserve">Media</w:t>
            </w:r>
          </w:p>
        </w:tc>
        <w:tc>
          <w:tcPr/>
          <w:p>
            <w:pPr>
              <w:pStyle w:val="Compact"/>
              <w:jc w:val="left"/>
            </w:pPr>
            <w:r>
              <w:rPr>
                <w:bCs/>
                <w:b/>
              </w:rPr>
              <w:t xml:space="preserve">2,20</w:t>
            </w:r>
          </w:p>
        </w:tc>
        <w:tc>
          <w:tcPr/>
          <w:p>
            <w:pPr>
              <w:pStyle w:val="Compact"/>
              <w:jc w:val="left"/>
            </w:pPr>
            <w:r>
              <w:rPr>
                <w:bCs/>
                <w:b/>
              </w:rPr>
              <w:t xml:space="preserve">Baja</w:t>
            </w:r>
          </w:p>
        </w:tc>
      </w:tr>
    </w:tbl>
    <w:bookmarkEnd w:id="26"/>
    <w:bookmarkStart w:id="27" w:name="Xe7eb295e4c5ecbe350c55da4b56d4b240626211"/>
    <w:p>
      <w:pPr>
        <w:pStyle w:val="Heading3"/>
      </w:pPr>
      <w:r>
        <w:t xml:space="preserve">1.3.3. Tabla comparativa de la planificación del servicio</w:t>
      </w:r>
    </w:p>
    <w:p>
      <w:pPr>
        <w:pStyle w:val="FirstParagraph"/>
      </w:pPr>
      <w:r>
        <w:t xml:space="preserve">Se presenta a continuación la valoración comparada del bloque de planificación del servicio.</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rPr>
                <w:bCs/>
                <w:b/>
              </w:rPr>
              <w:t xml:space="preserve">Subcriterio</w:t>
            </w:r>
          </w:p>
        </w:tc>
        <w:tc>
          <w:tcPr/>
          <w:p>
            <w:pPr>
              <w:pStyle w:val="Compact"/>
              <w:jc w:val="left"/>
            </w:pPr>
            <w:r>
              <w:rPr>
                <w:bCs/>
                <w:b/>
              </w:rPr>
              <w:t xml:space="preserve">Puntuación máxima</w:t>
            </w:r>
          </w:p>
        </w:tc>
        <w:tc>
          <w:tcPr/>
          <w:p>
            <w:pPr>
              <w:pStyle w:val="Compact"/>
              <w:jc w:val="left"/>
            </w:pPr>
            <w:r>
              <w:rPr>
                <w:bCs/>
                <w:b/>
              </w:rPr>
              <w:t xml:space="preserve">empresa_s</w:t>
            </w:r>
          </w:p>
        </w:tc>
        <w:tc>
          <w:tcPr/>
          <w:p>
            <w:pPr>
              <w:pStyle w:val="Compact"/>
              <w:jc w:val="left"/>
            </w:pPr>
            <w:r>
              <w:rPr>
                <w:bCs/>
                <w:b/>
              </w:rPr>
              <w:t xml:space="preserve">Valoración</w:t>
            </w:r>
          </w:p>
        </w:tc>
        <w:tc>
          <w:tcPr/>
          <w:p>
            <w:pPr>
              <w:pStyle w:val="Compact"/>
              <w:jc w:val="left"/>
            </w:pPr>
            <w:r>
              <w:rPr>
                <w:bCs/>
                <w:b/>
              </w:rPr>
              <w:t xml:space="preserve">empresa_n</w:t>
            </w:r>
          </w:p>
        </w:tc>
        <w:tc>
          <w:tcPr/>
          <w:p>
            <w:pPr>
              <w:pStyle w:val="Compact"/>
              <w:jc w:val="left"/>
            </w:pPr>
            <w:r>
              <w:rPr>
                <w:bCs/>
                <w:b/>
              </w:rPr>
              <w:t xml:space="preserve">Valoración</w:t>
            </w:r>
          </w:p>
        </w:tc>
        <w:tc>
          <w:tcPr/>
          <w:p>
            <w:pPr>
              <w:pStyle w:val="Compact"/>
              <w:jc w:val="left"/>
            </w:pPr>
            <w:r>
              <w:rPr>
                <w:bCs/>
                <w:b/>
              </w:rPr>
              <w:t xml:space="preserve">empresa_u</w:t>
            </w:r>
          </w:p>
        </w:tc>
        <w:tc>
          <w:tcPr/>
          <w:p>
            <w:pPr>
              <w:pStyle w:val="Compact"/>
              <w:jc w:val="left"/>
            </w:pPr>
            <w:r>
              <w:rPr>
                <w:bCs/>
                <w:b/>
              </w:rPr>
              <w:t xml:space="preserve">Valoración</w:t>
            </w:r>
          </w:p>
        </w:tc>
      </w:tr>
      <w:tr>
        <w:tc>
          <w:tcPr/>
          <w:p>
            <w:pPr>
              <w:pStyle w:val="Compact"/>
              <w:jc w:val="left"/>
            </w:pPr>
            <w:r>
              <w:t xml:space="preserve">Calendario</w:t>
            </w:r>
          </w:p>
        </w:tc>
        <w:tc>
          <w:tcPr/>
          <w:p>
            <w:pPr>
              <w:pStyle w:val="Compact"/>
              <w:jc w:val="left"/>
            </w:pPr>
            <w:r>
              <w:t xml:space="preserve">11</w:t>
            </w:r>
          </w:p>
        </w:tc>
        <w:tc>
          <w:tcPr/>
          <w:p>
            <w:pPr>
              <w:pStyle w:val="Compact"/>
              <w:jc w:val="left"/>
            </w:pPr>
            <w:r>
              <w:t xml:space="preserve">9,6</w:t>
            </w:r>
          </w:p>
        </w:tc>
        <w:tc>
          <w:tcPr/>
          <w:p>
            <w:pPr>
              <w:pStyle w:val="Compact"/>
              <w:jc w:val="left"/>
            </w:pPr>
            <w:r>
              <w:t xml:space="preserve">Excelente</w:t>
            </w:r>
          </w:p>
        </w:tc>
        <w:tc>
          <w:tcPr/>
          <w:p>
            <w:pPr>
              <w:pStyle w:val="Compact"/>
              <w:jc w:val="left"/>
            </w:pPr>
            <w:r>
              <w:t xml:space="preserve">3,75</w:t>
            </w:r>
          </w:p>
        </w:tc>
        <w:tc>
          <w:tcPr/>
          <w:p>
            <w:pPr>
              <w:pStyle w:val="Compact"/>
              <w:jc w:val="left"/>
            </w:pPr>
            <w:r>
              <w:t xml:space="preserve">Media</w:t>
            </w:r>
          </w:p>
        </w:tc>
        <w:tc>
          <w:tcPr/>
          <w:p>
            <w:pPr>
              <w:pStyle w:val="Compact"/>
              <w:jc w:val="left"/>
            </w:pPr>
            <w:r>
              <w:t xml:space="preserve">0,50</w:t>
            </w:r>
          </w:p>
        </w:tc>
        <w:tc>
          <w:tcPr/>
          <w:p>
            <w:pPr>
              <w:pStyle w:val="Compact"/>
              <w:jc w:val="left"/>
            </w:pPr>
            <w:r>
              <w:t xml:space="preserve">Baja</w:t>
            </w:r>
          </w:p>
        </w:tc>
      </w:tr>
      <w:tr>
        <w:tc>
          <w:tcPr/>
          <w:p>
            <w:pPr>
              <w:pStyle w:val="Compact"/>
              <w:jc w:val="left"/>
            </w:pPr>
            <w:r>
              <w:t xml:space="preserve">Riesgos</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0,55</w:t>
            </w:r>
          </w:p>
        </w:tc>
        <w:tc>
          <w:tcPr/>
          <w:p>
            <w:pPr>
              <w:pStyle w:val="Compact"/>
              <w:jc w:val="left"/>
            </w:pPr>
            <w:r>
              <w:t xml:space="preserve">Alta</w:t>
            </w:r>
          </w:p>
        </w:tc>
        <w:tc>
          <w:tcPr/>
          <w:p>
            <w:pPr>
              <w:pStyle w:val="Compact"/>
              <w:jc w:val="left"/>
            </w:pPr>
            <w:r>
              <w:t xml:space="preserve">0,30</w:t>
            </w:r>
          </w:p>
        </w:tc>
        <w:tc>
          <w:tcPr/>
          <w:p>
            <w:pPr>
              <w:pStyle w:val="Compact"/>
              <w:jc w:val="left"/>
            </w:pPr>
            <w:r>
              <w:t xml:space="preserve">Baja</w:t>
            </w:r>
          </w:p>
        </w:tc>
      </w:tr>
      <w:tr>
        <w:tc>
          <w:tcPr/>
          <w:p>
            <w:pPr>
              <w:pStyle w:val="Compact"/>
              <w:jc w:val="left"/>
            </w:pPr>
            <w:r>
              <w:t xml:space="preserve">Contingencias</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0,40</w:t>
            </w:r>
          </w:p>
        </w:tc>
        <w:tc>
          <w:tcPr/>
          <w:p>
            <w:pPr>
              <w:pStyle w:val="Compact"/>
              <w:jc w:val="left"/>
            </w:pPr>
            <w:r>
              <w:t xml:space="preserve">Media</w:t>
            </w:r>
          </w:p>
        </w:tc>
        <w:tc>
          <w:tcPr/>
          <w:p>
            <w:pPr>
              <w:pStyle w:val="Compact"/>
              <w:jc w:val="left"/>
            </w:pPr>
            <w:r>
              <w:t xml:space="preserve">0,20</w:t>
            </w:r>
          </w:p>
        </w:tc>
        <w:tc>
          <w:tcPr/>
          <w:p>
            <w:pPr>
              <w:pStyle w:val="Compact"/>
              <w:jc w:val="left"/>
            </w:pPr>
            <w:r>
              <w:t xml:space="preserve">Baja</w:t>
            </w:r>
          </w:p>
        </w:tc>
      </w:tr>
      <w:tr>
        <w:tc>
          <w:tcPr/>
          <w:p>
            <w:pPr>
              <w:pStyle w:val="Compact"/>
              <w:jc w:val="left"/>
            </w:pPr>
            <w:r>
              <w:t xml:space="preserve">Calidad</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0,6</w:t>
            </w:r>
          </w:p>
        </w:tc>
        <w:tc>
          <w:tcPr/>
          <w:p>
            <w:pPr>
              <w:pStyle w:val="Compact"/>
              <w:jc w:val="left"/>
            </w:pPr>
            <w:r>
              <w:t xml:space="preserve">Media</w:t>
            </w:r>
          </w:p>
        </w:tc>
        <w:tc>
          <w:tcPr/>
          <w:p>
            <w:pPr>
              <w:pStyle w:val="Compact"/>
              <w:jc w:val="left"/>
            </w:pPr>
            <w:r>
              <w:t xml:space="preserve">0,30</w:t>
            </w:r>
          </w:p>
        </w:tc>
        <w:tc>
          <w:tcPr/>
          <w:p>
            <w:pPr>
              <w:pStyle w:val="Compact"/>
              <w:jc w:val="left"/>
            </w:pPr>
            <w:r>
              <w:t xml:space="preserve">Baja</w:t>
            </w:r>
          </w:p>
        </w:tc>
      </w:tr>
      <w:tr>
        <w:tc>
          <w:tcPr/>
          <w:p>
            <w:pPr>
              <w:pStyle w:val="Compact"/>
              <w:jc w:val="left"/>
            </w:pPr>
            <w:r>
              <w:t xml:space="preserve">Trazabilidad</w:t>
            </w:r>
          </w:p>
        </w:tc>
        <w:tc>
          <w:tcPr/>
          <w:p>
            <w:pPr>
              <w:pStyle w:val="Compact"/>
              <w:jc w:val="left"/>
            </w:pPr>
            <w:r>
              <w:t xml:space="preserve">1</w:t>
            </w:r>
          </w:p>
        </w:tc>
        <w:tc>
          <w:tcPr/>
          <w:p>
            <w:pPr>
              <w:pStyle w:val="Compact"/>
              <w:jc w:val="left"/>
            </w:pPr>
            <w:r>
              <w:t xml:space="preserve">0,90</w:t>
            </w:r>
          </w:p>
        </w:tc>
        <w:tc>
          <w:tcPr/>
          <w:p>
            <w:pPr>
              <w:pStyle w:val="Compact"/>
              <w:jc w:val="left"/>
            </w:pPr>
            <w:r>
              <w:t xml:space="preserve">Excelente</w:t>
            </w:r>
          </w:p>
        </w:tc>
        <w:tc>
          <w:tcPr/>
          <w:p>
            <w:pPr>
              <w:pStyle w:val="Compact"/>
              <w:jc w:val="left"/>
            </w:pPr>
            <w:r>
              <w:t xml:space="preserve">0,30</w:t>
            </w:r>
          </w:p>
        </w:tc>
        <w:tc>
          <w:tcPr/>
          <w:p>
            <w:pPr>
              <w:pStyle w:val="Compact"/>
              <w:jc w:val="left"/>
            </w:pPr>
            <w:r>
              <w:t xml:space="preserve">Media</w:t>
            </w:r>
          </w:p>
        </w:tc>
        <w:tc>
          <w:tcPr/>
          <w:p>
            <w:pPr>
              <w:pStyle w:val="Compact"/>
              <w:jc w:val="left"/>
            </w:pPr>
            <w:r>
              <w:t xml:space="preserve">0,20</w:t>
            </w:r>
          </w:p>
        </w:tc>
        <w:tc>
          <w:tcPr/>
          <w:p>
            <w:pPr>
              <w:pStyle w:val="Compact"/>
              <w:jc w:val="left"/>
            </w:pPr>
            <w:r>
              <w:t xml:space="preserve">Baja</w:t>
            </w:r>
          </w:p>
        </w:tc>
      </w:tr>
      <w:tr>
        <w:tc>
          <w:tcPr/>
          <w:p>
            <w:pPr>
              <w:pStyle w:val="Compact"/>
              <w:jc w:val="left"/>
            </w:pPr>
            <w:r>
              <w:rPr>
                <w:bCs/>
                <w:b/>
              </w:rPr>
              <w:t xml:space="preserve">Total</w:t>
            </w:r>
          </w:p>
        </w:tc>
        <w:tc>
          <w:tcPr/>
          <w:p>
            <w:pPr>
              <w:pStyle w:val="Compact"/>
              <w:jc w:val="left"/>
            </w:pPr>
            <w:r>
              <w:rPr>
                <w:bCs/>
                <w:b/>
              </w:rPr>
              <w:t xml:space="preserve">15</w:t>
            </w:r>
          </w:p>
        </w:tc>
        <w:tc>
          <w:tcPr/>
          <w:p>
            <w:pPr>
              <w:pStyle w:val="Compact"/>
              <w:jc w:val="left"/>
            </w:pPr>
            <w:r>
              <w:rPr>
                <w:bCs/>
                <w:b/>
              </w:rPr>
              <w:t xml:space="preserve">13,10</w:t>
            </w:r>
          </w:p>
        </w:tc>
        <w:tc>
          <w:tcPr/>
          <w:p>
            <w:pPr>
              <w:pStyle w:val="Compact"/>
              <w:jc w:val="left"/>
            </w:pPr>
            <w:r>
              <w:rPr>
                <w:bCs/>
                <w:b/>
              </w:rPr>
              <w:t xml:space="preserve">Excelente</w:t>
            </w:r>
          </w:p>
        </w:tc>
        <w:tc>
          <w:tcPr/>
          <w:p>
            <w:pPr>
              <w:pStyle w:val="Compact"/>
              <w:jc w:val="left"/>
            </w:pPr>
            <w:r>
              <w:rPr>
                <w:bCs/>
                <w:b/>
              </w:rPr>
              <w:t xml:space="preserve">5,60</w:t>
            </w:r>
          </w:p>
        </w:tc>
        <w:tc>
          <w:tcPr/>
          <w:p>
            <w:pPr>
              <w:pStyle w:val="Compact"/>
              <w:jc w:val="left"/>
            </w:pPr>
            <w:r>
              <w:rPr>
                <w:bCs/>
                <w:b/>
              </w:rPr>
              <w:t xml:space="preserve">Media</w:t>
            </w:r>
          </w:p>
        </w:tc>
        <w:tc>
          <w:tcPr/>
          <w:p>
            <w:pPr>
              <w:pStyle w:val="Compact"/>
              <w:jc w:val="left"/>
            </w:pPr>
            <w:r>
              <w:rPr>
                <w:bCs/>
                <w:b/>
              </w:rPr>
              <w:t xml:space="preserve">1,50</w:t>
            </w:r>
          </w:p>
        </w:tc>
        <w:tc>
          <w:tcPr/>
          <w:p>
            <w:pPr>
              <w:pStyle w:val="Compact"/>
              <w:jc w:val="left"/>
            </w:pPr>
            <w:r>
              <w:rPr>
                <w:bCs/>
                <w:b/>
              </w:rPr>
              <w:t xml:space="preserve">Baja</w:t>
            </w:r>
          </w:p>
        </w:tc>
      </w:tr>
    </w:tbl>
    <w:bookmarkEnd w:id="27"/>
    <w:bookmarkStart w:id="28" w:name="justificación-de-la-valoración-comparada"/>
    <w:p>
      <w:pPr>
        <w:pStyle w:val="Heading3"/>
      </w:pPr>
      <w:r>
        <w:t xml:space="preserve">1.3.4. Justificación de la valoración comparada</w:t>
      </w:r>
    </w:p>
    <w:p>
      <w:pPr>
        <w:pStyle w:val="FirstParagraph"/>
      </w:pPr>
      <w:r>
        <w:t xml:space="preserve">La valoración reflejada en las tablas anteriores responde a un análisis técnico homogéneo, basado exclusivamente en el contenido de las propuestas y en su capacidad para dar respuesta a los requisitos establecidos en el pliego.</w:t>
      </w:r>
    </w:p>
    <w:p>
      <w:pPr>
        <w:pStyle w:val="BodyText"/>
      </w:pPr>
      <w:r>
        <w:t xml:space="preserve">En el caso de empresa_s, la puntuación elevada se justifica por la existencia de soluciones técnicas concretas, la cobertura completa del Anexo II y la incorporación de mecanismos de control, integración y validación que permiten verificar la viabilidad de la solución, así como propuestas de mejora en la mayoría de los subproyectos. La propuesta no presenta carencias estructurales ni errores conceptuales, lo que permite situarla en niveles altos o excelentes en la mayoría de los subcriterios.</w:t>
      </w:r>
    </w:p>
    <w:p>
      <w:pPr>
        <w:pStyle w:val="BodyText"/>
      </w:pPr>
      <w:r>
        <w:t xml:space="preserve">Por el contrario, la propuesta de empresa_n presenta un nivel de desarrollo técnico insuficiente, caracterizado por un enfoque descriptivo, la ausencia de mecanismos concretos de implementación y la existencia de errores técnicos que afectan a la correcta comprensión del entorno. Estas deficiencias se trasladan de manera homogénea a los distintos subcriterios, dando lugar a una valoración media-baja en ambos bloques.</w:t>
      </w:r>
    </w:p>
    <w:p>
      <w:pPr>
        <w:pStyle w:val="BodyText"/>
      </w:pPr>
      <w:r>
        <w:t xml:space="preserve">En el caso de la empresa_u, la puntuación muy reducida se explica por la imposibilidad de evaluar una parte sustancial de la propuesta, debido a la falta de desarrollo técnico, la presencia de contenido no finalizado y la ausencia de planificación verificable. Estas carencias afectan a la totalidad de los subcriterios y justifican la asignación de niveles muy bajos en la mayoría de ellos.</w:t>
      </w:r>
    </w:p>
    <w:p>
      <w:pPr>
        <w:pStyle w:val="BodyText"/>
      </w:pPr>
      <w:r>
        <w:t xml:space="preserve">En conjunto, la valoración comparada refleja de forma proporcional y coherente las diferencias reales entre las propuestas, garantizando la homogeneidad en la aplicación de los criterios y la trazabilidad entre el análisis técnico realizado y la puntuación final asignada.</w:t>
      </w:r>
    </w:p>
    <w:bookmarkEnd w:id="28"/>
    <w:bookmarkEnd w:id="29"/>
    <w:bookmarkStart w:id="30" w:name="conclusiones-de-la-valoración-comparada"/>
    <w:p>
      <w:pPr>
        <w:pStyle w:val="Heading2"/>
      </w:pPr>
      <w:r>
        <w:t xml:space="preserve">1.4. CONCLUSIONES DE LA VALORACIÓN COMPARADA</w:t>
      </w:r>
    </w:p>
    <w:p>
      <w:pPr>
        <w:pStyle w:val="FirstParagraph"/>
      </w:pPr>
      <w:r>
        <w:t xml:space="preserve">El análisis técnico desarrollado a lo largo del presente informe permite establecer de forma clara, objetiva y plenamente trazable las diferencias existentes entre las tres propuestas evaluadas, tanto en términos de calidad técnica como de capacidad real de ejecución del contrato.</w:t>
      </w:r>
    </w:p>
    <w:p>
      <w:pPr>
        <w:pStyle w:val="BodyText"/>
      </w:pPr>
      <w:r>
        <w:t xml:space="preserve">En primer lugar, la propuesta presentada por empresa_s se configura como la única que acredita de manera suficiente el cumplimiento de los requisitos establecidos en el Pliego de Prescripciones Técnicas Particulares. Su elevado grado de desarrollo técnico, la coherencia interna de la solución, la cobertura completa del Anexo II y la adecuada definición de los mecanismos de planificación permiten considerar que la oferta reúne las condiciones necesarias para garantizar la ejecución del contrato en condiciones de calidad.</w:t>
      </w:r>
    </w:p>
    <w:p>
      <w:pPr>
        <w:pStyle w:val="BodyText"/>
      </w:pPr>
      <w:r>
        <w:t xml:space="preserve">Desde una perspectiva técnica, la propuesta destaca por su carácter plenamente evaluable, al incorporar soluciones concretas, arquitecturas definidas y mecanismos verificables de implementación. Este aspecto resulta determinante en un procedimiento sujeto a juicio de valor, en el que la valoración debe fundamentarse exclusivamente en elementos objetivos contenidos en la oferta.</w:t>
      </w:r>
    </w:p>
    <w:p>
      <w:pPr>
        <w:pStyle w:val="BodyText"/>
      </w:pPr>
      <w:r>
        <w:t xml:space="preserve">En segundo lugar, la propuesta de empresa_n, aun presentando una cobertura funcional amplia, no alcanza el nivel de desarrollo técnico exigible para este tipo de contrato. Las carencias detectadas, consistentes en la ausencia de definición de soluciones técnicas, la falta de trazabilidad entre requisitos y actuaciones, y la existencia de errores conceptuales, afectan de manera directa a la viabilidad de la propuesta.</w:t>
      </w:r>
    </w:p>
    <w:p>
      <w:pPr>
        <w:pStyle w:val="BodyText"/>
      </w:pPr>
      <w:r>
        <w:t xml:space="preserve">Estas deficiencias no son puntuales, sino que se reproducen de forma sistemática en la mayoría de los bloques analizados, lo que determina una limitación estructural en la evaluabilidad de la oferta. En consecuencia, la propuesta no permite garantizar con suficiente certeza la correcta ejecución del contrato, lo que se refleja en una puntuación significativamente inferior al umbral mínimo exigido.</w:t>
      </w:r>
    </w:p>
    <w:p>
      <w:pPr>
        <w:pStyle w:val="BodyText"/>
      </w:pPr>
      <w:r>
        <w:t xml:space="preserve">Por último, la propuesta presentada por la empresa_u se sitúa en un nivel claramente insuficiente, debido a la existencia de carencias estructurales que afectan a la práctica totalidad de su contenido. La falta de desarrollo técnico, la imposibilidad de evaluar una parte sustancial de la propuesta y la ausencia de planificación verificable determinan que la oferta no cumpla los requisitos mínimos exigidos por el pliego.</w:t>
      </w:r>
    </w:p>
    <w:p>
      <w:pPr>
        <w:pStyle w:val="BodyText"/>
      </w:pPr>
      <w:r>
        <w:t xml:space="preserve">Debe destacarse que, en este caso, la insuficiencia no deriva de una menor calidad relativa frente a otras propuestas, sino de la imposibilidad material de evaluar el contenido presentado, lo que impide verificar el cumplimiento de los requisitos del contrato.</w:t>
      </w:r>
    </w:p>
    <w:p>
      <w:pPr>
        <w:pStyle w:val="BodyText"/>
      </w:pPr>
      <w:r>
        <w:t xml:space="preserve">Desde una perspectiva comparada, las tres propuestas se distribuyen en tres niveles claramente diferenciados:</w:t>
      </w:r>
    </w:p>
    <w:p>
      <w:pPr>
        <w:numPr>
          <w:ilvl w:val="0"/>
          <w:numId w:val="1005"/>
        </w:numPr>
      </w:pPr>
      <w:r>
        <w:t xml:space="preserve">Un nivel alto, representado por empresa_s, que acredita solvencia técnica, viabilidad y adecuación al contrato.</w:t>
      </w:r>
    </w:p>
    <w:p>
      <w:pPr>
        <w:numPr>
          <w:ilvl w:val="0"/>
          <w:numId w:val="1005"/>
        </w:numPr>
      </w:pPr>
      <w:r>
        <w:t xml:space="preserve">Un nivel intermedio-bajo, representado por empresa_n, que presenta una aproximación incompleta con deficiencias relevantes.</w:t>
      </w:r>
    </w:p>
    <w:p>
      <w:pPr>
        <w:numPr>
          <w:ilvl w:val="0"/>
          <w:numId w:val="1005"/>
        </w:numPr>
      </w:pPr>
      <w:r>
        <w:t xml:space="preserve">Un nivel muy bajo, representado por la empresa_u, cuya propuesta no resulta evaluable en una parte sustancial.</w:t>
      </w:r>
    </w:p>
    <w:p>
      <w:pPr>
        <w:pStyle w:val="FirstParagraph"/>
      </w:pPr>
      <w:r>
        <w:t xml:space="preserve">Esta distribución no responde a una interpretación subjetiva, sino a la aplicación homogénea de los criterios definidos en el PPTP, garantizando la proporcionalidad entre el nivel de desarrollo técnico de cada oferta y la puntuación asignada.</w:t>
      </w:r>
    </w:p>
    <w:p>
      <w:pPr>
        <w:pStyle w:val="BodyText"/>
      </w:pPr>
      <w:r>
        <w:t xml:space="preserve">En consecuencia, puede afirmarse que la valoración realizada es coherente, equilibrada y plenamente alineada con los principios de objetividad, igualdad de trato y transparencia que rigen la contratación pública, no apreciándose ningún elemento que pueda dar lugar a situaciones de agravio comparativo entre los licitadores.</w:t>
      </w:r>
    </w:p>
    <w:bookmarkEnd w:id="30"/>
    <w:bookmarkStart w:id="31" w:name="X8c89328a70a690a56f97cb57766ebf322079f92"/>
    <w:p>
      <w:pPr>
        <w:pStyle w:val="Heading2"/>
      </w:pPr>
      <w:r>
        <w:t xml:space="preserve">1.5. PROPUESTA DE EXCLUSIÓN Y CONTINUACIÓN DEL PROCEDIMIENTO</w:t>
      </w:r>
    </w:p>
    <w:p>
      <w:pPr>
        <w:pStyle w:val="FirstParagraph"/>
      </w:pPr>
      <w:r>
        <w:t xml:space="preserve">El Pliego de Prescripciones Técnicas Particulares establece la obligación de que las ofertas sometidas a juicio de valor alcancen un umbral mínimo de calidad técnica, fijado en el cincuenta por ciento de la puntuación máxima asignable a dichos criterios. Este requisito se fundamenta en lo dispuesto en el artículo 146.3 de la Ley 9/2017 de Contratos del Sector Público, que permite la fijación de umbrales mínimos con el fin de garantizar que únicamente las ofertas técnicamente adecuadas continúen en el procedimiento de adjudicación.</w:t>
      </w:r>
    </w:p>
    <w:p>
      <w:pPr>
        <w:pStyle w:val="BodyText"/>
      </w:pPr>
      <w:r>
        <w:t xml:space="preserve">En aplicación de este criterio, y a la vista de las puntuaciones obtenidas, se constata que únicamente la propuesta presentada por empresa_s supera el umbral mínimo exigido, al haber obtenido una puntuación de 26,70 puntos sobre un máximo de 30.</w:t>
      </w:r>
    </w:p>
    <w:p>
      <w:pPr>
        <w:pStyle w:val="BodyText"/>
      </w:pPr>
      <w:r>
        <w:t xml:space="preserve">Por el contrario, la propuesta presentada por empresa_n obtiene una puntuación total de 11,30 puntos, situándose por debajo del umbral mínimo fijado en 15 puntos. Esta circunstancia determina, de forma automática y sin margen de discrecionalidad, su exclusión del procedimiento, al no acreditar un nivel técnico suficiente para garantizar la correcta ejecución del contrato.</w:t>
      </w:r>
    </w:p>
    <w:p>
      <w:pPr>
        <w:pStyle w:val="BodyText"/>
      </w:pPr>
      <w:r>
        <w:t xml:space="preserve">De igual manera, la propuesta de la empresa_u obtiene una puntuación de 3,70 puntos, lo que confirma de forma aún más clara el incumplimiento del umbral mínimo exigido. Las deficiencias estructurales identificadas, unidas a la falta de evaluabilidad del contenido, refuerzan la necesidad de su exclusión del procedimiento.</w:t>
      </w:r>
    </w:p>
    <w:p>
      <w:pPr>
        <w:pStyle w:val="BodyText"/>
      </w:pPr>
      <w:r>
        <w:t xml:space="preserve">Debe señalarse que la exclusión de estas ofertas no constituye una decisión discrecional del órgano de contratación, sino la consecuencia directa de la aplicación de los criterios establecidos en el pliego, una vez constatado el incumplimiento del requisito mínimo de calidad técnica. Este planteamiento garantiza el respeto a los principios de objetividad e igualdad de trato, evitando cualquier tipo de arbitrariedad en la toma de decisiones.</w:t>
      </w:r>
    </w:p>
    <w:p>
      <w:pPr>
        <w:pStyle w:val="BodyText"/>
      </w:pPr>
      <w:r>
        <w:t xml:space="preserve">En consecuencia, a la vista del análisis técnico realizado y de la valoración efectuada, se formula la siguiente propuesta:</w:t>
      </w:r>
    </w:p>
    <w:p>
      <w:pPr>
        <w:pStyle w:val="BodyText"/>
      </w:pPr>
      <w:r>
        <w:t xml:space="preserve">Proceder a la exclusión de las ofertas presentadas por empresa_n y por la empresa_u del procedimiento de adjudicación, por no alcanzar el umbral mínimo de puntuación establecido para los criterios sujetos a juicio de valor.</w:t>
      </w:r>
    </w:p>
    <w:p>
      <w:pPr>
        <w:pStyle w:val="BodyText"/>
      </w:pPr>
      <w:r>
        <w:t xml:space="preserve">Asimismo, se propone la continuación del procedimiento con la empresa empresa_s S.A., única licitadora que ha superado el umbral mínimo exigido, al acreditar un nivel técnico suficiente y adecuado a los requisitos del contrato.</w:t>
      </w:r>
    </w:p>
    <w:p>
      <w:pPr>
        <w:pStyle w:val="BodyText"/>
      </w:pPr>
      <w:r>
        <w:t xml:space="preserve">Esta propuesta se fundamenta en un análisis técnico exhaustivo, en la aplicación homogénea de los criterios de valoración y en la plena trazabilidad entre el contenido de las ofertas y la puntuación asignada, constituyendo una base sólida y jurídicamente defendible para la adopción de la decisión final en el procedimiento de contratación.</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2026-07-11T17:19:04Z</dcterms:created>
  <dcterms:modified xsi:type="dcterms:W3CDTF">2026-07-11T17:19:04Z</dcterms:modified>
</cp:coreProperties>
</file>

<file path=docProps/custom.xml><?xml version="1.0" encoding="utf-8"?>
<Properties xmlns="http://schemas.openxmlformats.org/officeDocument/2006/custom-properties" xmlns:vt="http://schemas.openxmlformats.org/officeDocument/2006/docPropsVTypes"/>
</file>