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dependencias de las doce actividades del proceso DSI, dedicado a la definición y diseño de un sistema de información.</w:t>
      </w:r>
    </w:p>
    <w:p>
      <w:pPr>
        <w:numPr>
          <w:ilvl w:val="0"/>
          <w:numId w:val="1001"/>
        </w:numPr>
        <w:pStyle w:val="Compact"/>
      </w:pPr>
      <w:r>
        <w:t xml:space="preserve">La parte inicial reúne la arquitectura del sistema, la arquitectura de soporte, los casos de uso reales, las clases, la arquitectura de módulos y el diseño físico de datos; después aparece una verificación y aceptación conjunta de la arquitectura.</w:t>
      </w:r>
    </w:p>
    <w:p>
      <w:pPr>
        <w:numPr>
          <w:ilvl w:val="0"/>
          <w:numId w:val="1001"/>
        </w:numPr>
        <w:pStyle w:val="Compact"/>
      </w:pPr>
      <w:r>
        <w:t xml:space="preserve">El tramo final agrupa la generación de especificaciones de construcción, el diseño de la migración y carga inicial de datos, las pruebas, los requisitos de implantación y la aprobación del diseño.</w:t>
      </w:r>
    </w:p>
    <w:p>
      <w:pPr>
        <w:numPr>
          <w:ilvl w:val="0"/>
          <w:numId w:val="1001"/>
        </w:numPr>
        <w:pStyle w:val="Compact"/>
      </w:pPr>
      <w:r>
        <w:t xml:space="preserve">Una leyenda distingue actividades comunes, actividades exclusivas de orientación a objetos y actividades exclusivas del enfoque estructurado mediante diferentes tipos de borde.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