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Diagrama lineal de las seis actividades del proceso EVS, orientado al estudio de viabilidad de un sistema.</w:t>
      </w:r>
    </w:p>
    <w:p>
      <w:pPr>
        <w:numPr>
          <w:ilvl w:val="0"/>
          <w:numId w:val="1001"/>
        </w:numPr>
        <w:pStyle w:val="Compact"/>
      </w:pPr>
      <w:r>
        <w:t xml:space="preserve">El flujo parte del establecimiento del alcance y continúa con el estudio de la situación actual; en paralelo se incorpora la definición de requisitos del sistema.</w:t>
      </w:r>
    </w:p>
    <w:p>
      <w:pPr>
        <w:numPr>
          <w:ilvl w:val="0"/>
          <w:numId w:val="1001"/>
        </w:numPr>
        <w:pStyle w:val="Compact"/>
      </w:pPr>
      <w:r>
        <w:t xml:space="preserve">Ambas ramas confluyen en el estudio de alternativas de solución, seguido de su valoración y de la selección de la solución final.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2026-07-11T17:19:07Z</dcterms:created>
  <dcterms:modified xsi:type="dcterms:W3CDTF">2026-07-11T17:19:07Z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