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numPr>
          <w:ilvl w:val="0"/>
          <w:numId w:val="1001"/>
        </w:numPr>
        <w:pStyle w:val="Compact"/>
      </w:pPr>
      <w:r>
        <w:t xml:space="preserve">Diagrama de dependencias de las diez actividades del proceso IAS, dedicado a la implantación y aceptación de un sistema.</w:t>
      </w:r>
    </w:p>
    <w:p>
      <w:pPr>
        <w:numPr>
          <w:ilvl w:val="0"/>
          <w:numId w:val="1001"/>
        </w:numPr>
        <w:pStyle w:val="Compact"/>
      </w:pPr>
      <w:r>
        <w:t xml:space="preserve">La secuencia comienza con el plan de implantación y la formación necesaria; después se incorpora el sistema y se cargan los datos en el entorno de operación.</w:t>
      </w:r>
    </w:p>
    <w:p>
      <w:pPr>
        <w:numPr>
          <w:ilvl w:val="0"/>
          <w:numId w:val="1001"/>
        </w:numPr>
        <w:pStyle w:val="Compact"/>
      </w:pPr>
      <w:r>
        <w:t xml:space="preserve">Continúa con las pruebas de implantación y aceptación, la preparación del mantenimiento, la presentación y aprobación del sistema y su paso a producción.</w:t>
      </w:r>
    </w:p>
    <w:p>
      <w:pPr>
        <w:numPr>
          <w:ilvl w:val="0"/>
          <w:numId w:val="1001"/>
        </w:numPr>
        <w:pStyle w:val="Compact"/>
      </w:pPr>
      <w:r>
        <w:t xml:space="preserve">El establecimiento del acuerdo de nivel de servicio discurre como una actividad transversal desde la fase de formación hasta la aceptación.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2026-07-11T17:19:07Z</dcterms:created>
  <dcterms:modified xsi:type="dcterms:W3CDTF">2026-07-11T17:19:07Z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