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pStyle w:val="Compact"/>
      </w:pPr>
      <w:r>
        <w:t xml:space="preserve">Fragmento de una hoja de planificación temporal con tareas en filas y meses entre septiembre de 2026 y agosto de 2027 en columnas.</w:t>
      </w:r>
    </w:p>
    <w:p>
      <w:pPr>
        <w:numPr>
          <w:ilvl w:val="0"/>
          <w:numId w:val="1001"/>
        </w:numPr>
        <w:pStyle w:val="Compact"/>
      </w:pPr>
      <w:r>
        <w:t xml:space="preserve">Incluye mejoras y mantenimientos transversales, del CPD, de aulas virtuales y de la mediateca, con acciones como actualizaciones de Moodle, PHP y sistemas operativos, integraciones, seguridad, soporte y evolución funcional.</w:t>
      </w:r>
    </w:p>
    <w:p>
      <w:pPr>
        <w:numPr>
          <w:ilvl w:val="0"/>
          <w:numId w:val="1001"/>
        </w:numPr>
        <w:pStyle w:val="Compact"/>
      </w:pPr>
      <w:r>
        <w:t xml:space="preserve">Las celdas coloreadas y numeradas distribuyen cargas o hitos recurrentes a lo largo del calendario; las bandas grises separan bloques de trabajo y las filas amarillas resaltan numerosas actuaciones.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2026-07-11T17:19:06Z</dcterms:created>
  <dcterms:modified xsi:type="dcterms:W3CDTF">2026-07-11T17:19:06Z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