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numPr>
          <w:ilvl w:val="0"/>
          <w:numId w:val="1001"/>
        </w:numPr>
        <w:pStyle w:val="Compact"/>
      </w:pPr>
      <w:r>
        <w:t xml:space="preserve">Fragmento de una hoja de planificación temporal con tareas en filas y meses entre septiembre de 2026 y agosto de 2027 en columnas.</w:t>
      </w:r>
    </w:p>
    <w:p>
      <w:pPr>
        <w:numPr>
          <w:ilvl w:val="0"/>
          <w:numId w:val="1001"/>
        </w:numPr>
        <w:pStyle w:val="Compact"/>
      </w:pPr>
      <w:r>
        <w:t xml:space="preserve">Reúne actuaciones sobre contenidos audiovisuales, correo web, WordPress multisitio, formularios, aulas y cursos, videoconferencia, Animalandia, el portal, EducaSaaC, la nube y diversos servicios como DITIC, buzón anónimo, GESUIMIENTOS, Albor, avisos, foros y boletines.</w:t>
      </w:r>
    </w:p>
    <w:p>
      <w:pPr>
        <w:numPr>
          <w:ilvl w:val="0"/>
          <w:numId w:val="1001"/>
        </w:numPr>
        <w:pStyle w:val="Compact"/>
      </w:pPr>
      <w:r>
        <w:t xml:space="preserve">La cuadrícula usa celdas de varios colores con números para señalar cargas, intervenciones o hitos periódicos, y bandas grises para separar familias de servicios.</w:t>
      </w:r>
    </w:p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2026-07-11T17:19:06Z</dcterms:created>
  <dcterms:modified xsi:type="dcterms:W3CDTF">2026-07-11T17:19:06Z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