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Cadena vertical de cinco flechas circulares azules que representa un proceso continuo de gestión.</w:t>
      </w:r>
    </w:p>
    <w:p>
      <w:pPr>
        <w:numPr>
          <w:ilvl w:val="0"/>
          <w:numId w:val="1001"/>
        </w:numPr>
        <w:pStyle w:val="Compact"/>
      </w:pPr>
      <w:r>
        <w:t xml:space="preserve">Las etapas son identificación, establecimiento de acciones correctoras, mitigación, revisión y actualización.</w:t>
      </w:r>
    </w:p>
    <w:p>
      <w:pPr>
        <w:numPr>
          <w:ilvl w:val="0"/>
          <w:numId w:val="1001"/>
        </w:numPr>
        <w:pStyle w:val="Compact"/>
      </w:pPr>
      <w:r>
        <w:t xml:space="preserve">La forma enlazada y descendente de las flechas comunica que el ciclo se repite y que cada fase alimenta a la siguiente.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