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Diagrama de causa y efecto, también conocido como espina de pescado o Ishikawa, para analizar un defecto importante.</w:t>
      </w:r>
    </w:p>
    <w:p>
      <w:pPr>
        <w:numPr>
          <w:ilvl w:val="0"/>
          <w:numId w:val="1001"/>
        </w:numPr>
        <w:pStyle w:val="Compact"/>
      </w:pPr>
      <w:r>
        <w:t xml:space="preserve">Las posibles causas se distribuyen en ocho categorías: tiempo, máquina, método, material, energía, medición, personal y entorno.</w:t>
      </w:r>
    </w:p>
    <w:p>
      <w:pPr>
        <w:numPr>
          <w:ilvl w:val="0"/>
          <w:numId w:val="1001"/>
        </w:numPr>
        <w:pStyle w:val="Compact"/>
      </w:pPr>
      <w:r>
        <w:t xml:space="preserve">Todas las ramas convergen en una línea central que conduce al efecto identificado como defecto importante.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2026-07-11T17:19:06Z</dcterms:created>
  <dcterms:modified xsi:type="dcterms:W3CDTF">2026-07-11T17:19:06Z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