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flujo de un proceso de solicitud, diseño gráfico, pruebas, aprobación y compra de materiales.</w:t>
      </w:r>
    </w:p>
    <w:p>
      <w:pPr>
        <w:numPr>
          <w:ilvl w:val="0"/>
          <w:numId w:val="1001"/>
        </w:numPr>
        <w:pStyle w:val="Compact"/>
      </w:pPr>
      <w:r>
        <w:t xml:space="preserve">La secuencia comienza con la solicitud del proyecto y la copia de cumplimiento; el diseño pasa por una decisión de aprobación y, si es rechazado, vuelve a desarrollarse.</w:t>
      </w:r>
    </w:p>
    <w:p>
      <w:pPr>
        <w:numPr>
          <w:ilvl w:val="0"/>
          <w:numId w:val="1001"/>
        </w:numPr>
        <w:pStyle w:val="Compact"/>
      </w:pPr>
      <w:r>
        <w:t xml:space="preserve">Tras el control de cambios y las pruebas de proveedores aparecen dos decisiones de revisión, una del desarrollo del paquete y otra de control de calidad, con bucles de corrección cuando el resultado es negativo.</w:t>
      </w:r>
    </w:p>
    <w:p>
      <w:pPr>
        <w:numPr>
          <w:ilvl w:val="0"/>
          <w:numId w:val="1001"/>
        </w:numPr>
        <w:pStyle w:val="Compact"/>
      </w:pPr>
      <w:r>
        <w:t xml:space="preserve">La aprobación final conduce al envío de la prueba aceptada, la firma de especificaciones y el pedido de materiales.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