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Segunda parte de un cronograma de doce meses, entre septiembre de 2026 y agosto de 2027.</w:t>
      </w:r>
    </w:p>
    <w:p>
      <w:pPr>
        <w:numPr>
          <w:ilvl w:val="0"/>
          <w:numId w:val="1001"/>
        </w:numPr>
        <w:pStyle w:val="Compact"/>
      </w:pPr>
      <w:r>
        <w:t xml:space="preserve">Planifica mejoras del servicio eXeLearning Online, correo web, WordPress Multisite, formularios, Empieza, buscador de aulas y cursos y servicios de retransmisión y videoconferencia.</w:t>
      </w:r>
    </w:p>
    <w:p>
      <w:pPr>
        <w:numPr>
          <w:ilvl w:val="0"/>
          <w:numId w:val="1001"/>
        </w:numPr>
        <w:pStyle w:val="Compact"/>
      </w:pPr>
      <w:r>
        <w:t xml:space="preserve">Cada fila combina responsable principal, fase inicial, ejecución, mantenimiento continuo y cierre; los hitos de la derecha sitúan la puesta en operación u optimización en agosto de 2027.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