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8" w:name="Xdbbef38b1ff22e9fe8a44dcc7efa0b97d0c82e1"/>
    <w:p>
      <w:pPr>
        <w:pStyle w:val="Heading1"/>
      </w:pPr>
      <w:r>
        <w:t xml:space="preserve">CRITERIOS DE VALORACIÓN DE LAS OFERTAS Y SU PONDERACIÓN</w:t>
      </w:r>
    </w:p>
    <w:bookmarkStart w:id="20" w:name="X2143305142193fa1e499f2ae7fa43c3c1b3ada3"/>
    <w:p>
      <w:pPr>
        <w:pStyle w:val="Heading2"/>
      </w:pPr>
      <w:r>
        <w:t xml:space="preserve">Ponderación de los criterios de adjudicación</w:t>
      </w:r>
    </w:p>
    <w:p>
      <w:pPr>
        <w:numPr>
          <w:ilvl w:val="0"/>
          <w:numId w:val="1001"/>
        </w:numPr>
        <w:pStyle w:val="Compact"/>
      </w:pPr>
      <w:r>
        <w:rPr>
          <w:bCs/>
          <w:b/>
        </w:rPr>
        <w:t xml:space="preserve">Criterios que dependen de un juicio de valor:</w:t>
      </w:r>
      <w:r>
        <w:t xml:space="preserve"> </w:t>
      </w:r>
      <w:r>
        <w:t xml:space="preserve">30 %</w:t>
      </w:r>
    </w:p>
    <w:p>
      <w:pPr>
        <w:numPr>
          <w:ilvl w:val="0"/>
          <w:numId w:val="1001"/>
        </w:numPr>
        <w:pStyle w:val="Compact"/>
      </w:pPr>
      <w:r>
        <w:rPr>
          <w:bCs/>
          <w:b/>
        </w:rPr>
        <w:t xml:space="preserve">Criterios evaluables mediante fórmulas:</w:t>
      </w:r>
    </w:p>
    <w:p>
      <w:pPr>
        <w:numPr>
          <w:ilvl w:val="1"/>
          <w:numId w:val="1002"/>
        </w:numPr>
        <w:pStyle w:val="Compact"/>
      </w:pPr>
      <w:r>
        <w:rPr>
          <w:bCs/>
          <w:b/>
        </w:rPr>
        <w:t xml:space="preserve">Criterio precio:</w:t>
      </w:r>
      <w:r>
        <w:t xml:space="preserve"> </w:t>
      </w:r>
      <w:r>
        <w:t xml:space="preserve">70 %</w:t>
      </w:r>
    </w:p>
    <w:p>
      <w:pPr>
        <w:numPr>
          <w:ilvl w:val="1"/>
          <w:numId w:val="1002"/>
        </w:numPr>
        <w:pStyle w:val="Compact"/>
      </w:pPr>
      <w:r>
        <w:rPr>
          <w:bCs/>
          <w:b/>
        </w:rPr>
        <w:t xml:space="preserve">Otros criterios evaluables mediante fórmulas:</w:t>
      </w:r>
      <w:r>
        <w:t xml:space="preserve"> </w:t>
      </w:r>
      <w:r>
        <w:t xml:space="preserve">0 %</w:t>
      </w:r>
    </w:p>
    <w:bookmarkEnd w:id="20"/>
    <w:bookmarkStart w:id="23" w:name="X674e632285468d44933d270ed9b11fc914fffd3"/>
    <w:p>
      <w:pPr>
        <w:pStyle w:val="Heading2"/>
      </w:pPr>
      <w:r>
        <w:t xml:space="preserve">Criterios cuya cuantificación depende de un juicio de valor</w:t>
      </w:r>
    </w:p>
    <w:bookmarkStart w:id="21" w:name="criterios-y-ponderación"/>
    <w:p>
      <w:pPr>
        <w:pStyle w:val="Heading3"/>
      </w:pPr>
      <w:r>
        <w:t xml:space="preserve">Criterios y ponderación</w:t>
      </w:r>
    </w:p>
    <w:p>
      <w:pPr>
        <w:pStyle w:val="FirstParagraph"/>
      </w:pPr>
      <w:r>
        <w:t xml:space="preserve">En total</w:t>
      </w:r>
      <w:r>
        <w:t xml:space="preserve"> </w:t>
      </w:r>
      <w:r>
        <w:rPr>
          <w:bCs/>
          <w:b/>
        </w:rPr>
        <w:t xml:space="preserve">30 puntos</w:t>
      </w:r>
      <w:r>
        <w:t xml:space="preserve"> </w:t>
      </w:r>
      <w:r>
        <w:t xml:space="preserve">repartidos de la siguiente forma:</w:t>
      </w:r>
    </w:p>
    <w:p>
      <w:pPr>
        <w:numPr>
          <w:ilvl w:val="0"/>
          <w:numId w:val="1003"/>
        </w:numPr>
        <w:pStyle w:val="Compact"/>
      </w:pPr>
      <w:r>
        <w:rPr>
          <w:bCs/>
          <w:b/>
        </w:rPr>
        <w:t xml:space="preserve">Solución técnica ofertada — 15 puntos</w:t>
      </w:r>
    </w:p>
    <w:p>
      <w:pPr>
        <w:numPr>
          <w:ilvl w:val="1"/>
          <w:numId w:val="1004"/>
        </w:numPr>
        <w:pStyle w:val="Compact"/>
      </w:pPr>
      <w:r>
        <w:t xml:space="preserve">Arquitectura.</w:t>
      </w:r>
    </w:p>
    <w:p>
      <w:pPr>
        <w:numPr>
          <w:ilvl w:val="1"/>
          <w:numId w:val="1004"/>
        </w:numPr>
        <w:pStyle w:val="Compact"/>
      </w:pPr>
      <w:r>
        <w:t xml:space="preserve">Comprensión de los requisitos.</w:t>
      </w:r>
    </w:p>
    <w:p>
      <w:pPr>
        <w:numPr>
          <w:ilvl w:val="1"/>
          <w:numId w:val="1004"/>
        </w:numPr>
        <w:pStyle w:val="Compact"/>
      </w:pPr>
      <w:r>
        <w:t xml:space="preserve">Viabilidad.</w:t>
      </w:r>
    </w:p>
    <w:p>
      <w:pPr>
        <w:numPr>
          <w:ilvl w:val="1"/>
          <w:numId w:val="1004"/>
        </w:numPr>
        <w:pStyle w:val="Compact"/>
      </w:pPr>
      <w:r>
        <w:t xml:space="preserve">Metodología.</w:t>
      </w:r>
    </w:p>
    <w:p>
      <w:pPr>
        <w:numPr>
          <w:ilvl w:val="1"/>
          <w:numId w:val="1004"/>
        </w:numPr>
        <w:pStyle w:val="Compact"/>
      </w:pPr>
      <w:r>
        <w:t xml:space="preserve">Rendimiento previsible.</w:t>
      </w:r>
    </w:p>
    <w:p>
      <w:pPr>
        <w:numPr>
          <w:ilvl w:val="1"/>
          <w:numId w:val="1004"/>
        </w:numPr>
        <w:pStyle w:val="Compact"/>
      </w:pPr>
      <w:r>
        <w:t xml:space="preserve">Satisfacción de los requisitos.</w:t>
      </w:r>
    </w:p>
    <w:p>
      <w:pPr>
        <w:numPr>
          <w:ilvl w:val="0"/>
          <w:numId w:val="1003"/>
        </w:numPr>
        <w:pStyle w:val="Compact"/>
      </w:pPr>
      <w:r>
        <w:rPr>
          <w:bCs/>
          <w:b/>
        </w:rPr>
        <w:t xml:space="preserve">Planificación del servicio — 15 puntos</w:t>
      </w:r>
    </w:p>
    <w:p>
      <w:pPr>
        <w:numPr>
          <w:ilvl w:val="1"/>
          <w:numId w:val="1005"/>
        </w:numPr>
        <w:pStyle w:val="Compact"/>
      </w:pPr>
      <w:r>
        <w:t xml:space="preserve">Calendario.</w:t>
      </w:r>
    </w:p>
    <w:p>
      <w:pPr>
        <w:numPr>
          <w:ilvl w:val="1"/>
          <w:numId w:val="1005"/>
        </w:numPr>
        <w:pStyle w:val="Compact"/>
      </w:pPr>
      <w:r>
        <w:t xml:space="preserve">Análisis de riesgos.</w:t>
      </w:r>
    </w:p>
    <w:p>
      <w:pPr>
        <w:numPr>
          <w:ilvl w:val="1"/>
          <w:numId w:val="1005"/>
        </w:numPr>
        <w:pStyle w:val="Compact"/>
      </w:pPr>
      <w:r>
        <w:t xml:space="preserve">Plan de contingencias.</w:t>
      </w:r>
    </w:p>
    <w:p>
      <w:pPr>
        <w:numPr>
          <w:ilvl w:val="1"/>
          <w:numId w:val="1005"/>
        </w:numPr>
        <w:pStyle w:val="Compact"/>
      </w:pPr>
      <w:r>
        <w:t xml:space="preserve">Plan de calidad.</w:t>
      </w:r>
    </w:p>
    <w:p>
      <w:pPr>
        <w:numPr>
          <w:ilvl w:val="1"/>
          <w:numId w:val="1005"/>
        </w:numPr>
        <w:pStyle w:val="Compact"/>
      </w:pPr>
      <w:r>
        <w:t xml:space="preserve">Trazabilidad del servicio.</w:t>
      </w:r>
    </w:p>
    <w:bookmarkEnd w:id="21"/>
    <w:bookmarkStart w:id="22" w:name="método-de-valoración-y-documentación"/>
    <w:p>
      <w:pPr>
        <w:pStyle w:val="Heading3"/>
      </w:pPr>
      <w:r>
        <w:t xml:space="preserve">Método de valoración y documentación</w:t>
      </w:r>
    </w:p>
    <w:p>
      <w:pPr>
        <w:pStyle w:val="FirstParagraph"/>
      </w:pPr>
      <w:r>
        <w:rPr>
          <w:bCs/>
          <w:b/>
        </w:rPr>
        <w:t xml:space="preserve">Solución técnica ofertada (15 puntos):</w:t>
      </w:r>
      <w:r>
        <w:t xml:space="preserve"> </w:t>
      </w:r>
      <w:r>
        <w:t xml:space="preserve">Los licitadores presentarán una memoria técnica descriptiva de la prestación del servicio. En dicha memoria se debe de describir de forma pormenorizada de los trabajos a desarrollar, de forma técnica, funcional, y describiendo la metodología de trabajo. En este apartado en concreto se valorarán los siguientes subcriterios:</w:t>
      </w:r>
    </w:p>
    <w:p>
      <w:pPr>
        <w:numPr>
          <w:ilvl w:val="0"/>
          <w:numId w:val="1006"/>
        </w:numPr>
        <w:pStyle w:val="Compact"/>
      </w:pPr>
      <w:r>
        <w:t xml:space="preserve">Arquitectura planteada en los distintos subproyectos (</w:t>
      </w:r>
      <w:r>
        <w:rPr>
          <w:bCs/>
          <w:b/>
        </w:rPr>
        <w:t xml:space="preserve">2 puntos</w:t>
      </w:r>
      <w:r>
        <w:t xml:space="preserve">),</w:t>
      </w:r>
    </w:p>
    <w:p>
      <w:pPr>
        <w:numPr>
          <w:ilvl w:val="0"/>
          <w:numId w:val="1006"/>
        </w:numPr>
        <w:pStyle w:val="Compact"/>
      </w:pPr>
      <w:r>
        <w:t xml:space="preserve">Grado de comprensión de los requisitos planteados (</w:t>
      </w:r>
      <w:r>
        <w:rPr>
          <w:bCs/>
          <w:b/>
        </w:rPr>
        <w:t xml:space="preserve">2 puntos</w:t>
      </w:r>
      <w:r>
        <w:t xml:space="preserve">),</w:t>
      </w:r>
    </w:p>
    <w:p>
      <w:pPr>
        <w:numPr>
          <w:ilvl w:val="0"/>
          <w:numId w:val="1006"/>
        </w:numPr>
        <w:pStyle w:val="Compact"/>
      </w:pPr>
      <w:r>
        <w:t xml:space="preserve">Viabilidad del proyecto en general (</w:t>
      </w:r>
      <w:r>
        <w:rPr>
          <w:bCs/>
          <w:b/>
        </w:rPr>
        <w:t xml:space="preserve">1 punto</w:t>
      </w:r>
      <w:r>
        <w:t xml:space="preserve">),</w:t>
      </w:r>
    </w:p>
    <w:p>
      <w:pPr>
        <w:numPr>
          <w:ilvl w:val="0"/>
          <w:numId w:val="1006"/>
        </w:numPr>
        <w:pStyle w:val="Compact"/>
      </w:pPr>
      <w:r>
        <w:t xml:space="preserve">Metodología de trabajo aplicada (</w:t>
      </w:r>
      <w:r>
        <w:rPr>
          <w:bCs/>
          <w:b/>
        </w:rPr>
        <w:t xml:space="preserve">1 punto</w:t>
      </w:r>
      <w:r>
        <w:t xml:space="preserve">),</w:t>
      </w:r>
    </w:p>
    <w:p>
      <w:pPr>
        <w:numPr>
          <w:ilvl w:val="0"/>
          <w:numId w:val="1006"/>
        </w:numPr>
        <w:pStyle w:val="Compact"/>
      </w:pPr>
      <w:r>
        <w:t xml:space="preserve">Rendimiento previsible de las distintas soluciones (</w:t>
      </w:r>
      <w:r>
        <w:rPr>
          <w:bCs/>
          <w:b/>
        </w:rPr>
        <w:t xml:space="preserve">1 punto</w:t>
      </w:r>
      <w:r>
        <w:t xml:space="preserve">),</w:t>
      </w:r>
    </w:p>
    <w:p>
      <w:pPr>
        <w:numPr>
          <w:ilvl w:val="0"/>
          <w:numId w:val="1006"/>
        </w:numPr>
        <w:pStyle w:val="Compact"/>
      </w:pPr>
      <w:r>
        <w:t xml:space="preserve">Satisfacción de los requisitos (</w:t>
      </w:r>
      <w:r>
        <w:rPr>
          <w:bCs/>
          <w:b/>
        </w:rPr>
        <w:t xml:space="preserve">8 puntos</w:t>
      </w:r>
      <w:r>
        <w:t xml:space="preserve">).</w:t>
      </w:r>
    </w:p>
    <w:p>
      <w:pPr>
        <w:pStyle w:val="FirstParagraph"/>
      </w:pPr>
      <w:r>
        <w:t xml:space="preserve">Cada uno de estos subcriterios se evaluará siguiendo el siguiente árbol de puntuación:</w:t>
      </w:r>
    </w:p>
    <w:p>
      <w:pPr>
        <w:numPr>
          <w:ilvl w:val="0"/>
          <w:numId w:val="1007"/>
        </w:numPr>
      </w:pPr>
      <w:r>
        <w:rPr>
          <w:bCs/>
          <w:b/>
        </w:rPr>
        <w:t xml:space="preserve">EXCELENTE</w:t>
      </w:r>
      <w:r>
        <w:t xml:space="preserve">: La solución técnica aportada describe de forma excelente y completa la arquitectura de los distintos subproyectos. La comprensión de los requisitos planteados es excelente. La viabilidad del proyecto no genera ningún atisbo de dudas. La metodología de trabajo elegida es comúnmente utilizada dentro del ámbito tecnológico y concuerda con las tareas del proyecto. Se justifica de forma convincente un excelente rendimiento de las distintas soluciones aportadas. La solución técnica cumple ampliamente los requisitos del pliego aportando mejoras coherentes y sustanciales de los mismos.</w:t>
      </w:r>
    </w:p>
    <w:p>
      <w:pPr>
        <w:numPr>
          <w:ilvl w:val="0"/>
          <w:numId w:val="1007"/>
        </w:numPr>
      </w:pPr>
      <w:r>
        <w:rPr>
          <w:bCs/>
          <w:b/>
        </w:rPr>
        <w:t xml:space="preserve">ALTA</w:t>
      </w:r>
      <w:r>
        <w:t xml:space="preserve">: La solución técnica aportada describe de forma correcta y completa la arquitectura de los distintos subproyectos. La comprensión de los requisitos planteados es buena. La viabilidad del proyecto no genera dudas. La metodología de trabajo elegida es utilizada dentro del ámbito tecnológico y concuerda con las tareas del proyecto. Se justifica de forma convincente un buen rendimiento de las distintas soluciones aportadas. La solución técnica cumple los requisitos del pliego aportando pocas mejoras de los mismos.</w:t>
      </w:r>
    </w:p>
    <w:p>
      <w:pPr>
        <w:numPr>
          <w:ilvl w:val="0"/>
          <w:numId w:val="1007"/>
        </w:numPr>
      </w:pPr>
      <w:r>
        <w:rPr>
          <w:bCs/>
          <w:b/>
        </w:rPr>
        <w:t xml:space="preserve">MEDIA</w:t>
      </w:r>
      <w:r>
        <w:t xml:space="preserve">: La solución técnica aportada describe de forma completa la arquitectura de los distintos subproyectos. La comprensión de los requisitos planteados es normal. La viabilidad del proyecto puede generar dudas. La metodología de trabajo elegida es utilizada dentro del ámbito tecnológico, pero no concuerda con las tareas del proyecto. Se justifica de forma convincente un rendimiento normal de las distintas soluciones aportadas. La solución técnica cumple los requisitos del pliego aportando muy pocas mejoras de los mismos o mejoras que no son coherentes.</w:t>
      </w:r>
    </w:p>
    <w:p>
      <w:pPr>
        <w:numPr>
          <w:ilvl w:val="0"/>
          <w:numId w:val="1007"/>
        </w:numPr>
      </w:pPr>
      <w:r>
        <w:rPr>
          <w:bCs/>
          <w:b/>
        </w:rPr>
        <w:t xml:space="preserve">BAJA</w:t>
      </w:r>
      <w:r>
        <w:t xml:space="preserve">: La solución técnica aportada describe de forma incorrecta o incompleta la arquitectura de los distintos subproyectos. La comprensión de los requisitos planteados es mala. La viabilidad del proyecto genera dudas. La metodología de trabajo elegida no es utilizada dentro del ámbito tecnológico, aunque concuerda con las tareas del proyecto. Se justifica de forma convincente un mal rendimiento de las distintas soluciones aportadas. La solución técnica cumple justo los requisitos del pliego sin aportar mejoras o mejoras nada coherentes.</w:t>
      </w:r>
    </w:p>
    <w:p>
      <w:pPr>
        <w:numPr>
          <w:ilvl w:val="0"/>
          <w:numId w:val="1007"/>
        </w:numPr>
      </w:pPr>
      <w:r>
        <w:rPr>
          <w:bCs/>
          <w:b/>
        </w:rPr>
        <w:t xml:space="preserve">MUY BAJA</w:t>
      </w:r>
      <w:r>
        <w:t xml:space="preserve">: La solución técnica aportada no describe o lo hace de forma muy incorrecta la arquitectura de los distintos subproyectos. La comprensión de los requisitos planteados es muy mala. La viabilidad del proyecto genera muchas dudas. La metodología de trabajo elegida no es utilizada dentro del ámbito tecnológico y no concuerda con las tareas del proyecto. Se justifica de forma convincente un rendimiento muy malo de las distintas soluciones aportadas. La solución técnica no cumple, o cumple muy justo los requisitos del pliego sin aportar mejoras o mejoras nada coherentes.</w:t>
      </w:r>
    </w:p>
    <w:p>
      <w:pPr>
        <w:pStyle w:val="FirstParagraph"/>
      </w:pPr>
      <w:r>
        <w:t xml:space="preserve">Para cada criterio/subcriterio los porcentajes de las puntuaciones en referencia al árbol de puntuaciones es el siguiente:</w:t>
      </w:r>
    </w:p>
    <w:p>
      <w:pPr>
        <w:numPr>
          <w:ilvl w:val="0"/>
          <w:numId w:val="1008"/>
        </w:numPr>
        <w:pStyle w:val="Compact"/>
      </w:pPr>
      <w:r>
        <w:rPr>
          <w:bCs/>
          <w:b/>
        </w:rPr>
        <w:t xml:space="preserve">EXCELENTE:</w:t>
      </w:r>
      <w:r>
        <w:t xml:space="preserve"> </w:t>
      </w:r>
      <w:r>
        <w:t xml:space="preserve">hasta el 100 % de la puntuación de la sección correspondiente.</w:t>
      </w:r>
    </w:p>
    <w:p>
      <w:pPr>
        <w:numPr>
          <w:ilvl w:val="0"/>
          <w:numId w:val="1008"/>
        </w:numPr>
        <w:pStyle w:val="Compact"/>
      </w:pPr>
      <w:r>
        <w:rPr>
          <w:bCs/>
          <w:b/>
        </w:rPr>
        <w:t xml:space="preserve">ALTA:</w:t>
      </w:r>
      <w:r>
        <w:t xml:space="preserve"> </w:t>
      </w:r>
      <w:r>
        <w:t xml:space="preserve">hasta el 75 % de la puntuación de la sección correspondiente.</w:t>
      </w:r>
    </w:p>
    <w:p>
      <w:pPr>
        <w:numPr>
          <w:ilvl w:val="0"/>
          <w:numId w:val="1008"/>
        </w:numPr>
        <w:pStyle w:val="Compact"/>
      </w:pPr>
      <w:r>
        <w:rPr>
          <w:bCs/>
          <w:b/>
        </w:rPr>
        <w:t xml:space="preserve">MEDIA:</w:t>
      </w:r>
      <w:r>
        <w:t xml:space="preserve"> </w:t>
      </w:r>
      <w:r>
        <w:t xml:space="preserve">hasta el 50 % de la puntuación de la sección correspondiente.</w:t>
      </w:r>
    </w:p>
    <w:p>
      <w:pPr>
        <w:numPr>
          <w:ilvl w:val="0"/>
          <w:numId w:val="1008"/>
        </w:numPr>
        <w:pStyle w:val="Compact"/>
      </w:pPr>
      <w:r>
        <w:rPr>
          <w:bCs/>
          <w:b/>
        </w:rPr>
        <w:t xml:space="preserve">BAJA:</w:t>
      </w:r>
      <w:r>
        <w:t xml:space="preserve"> </w:t>
      </w:r>
      <w:r>
        <w:t xml:space="preserve">hasta el 25 % de la puntuación de la sección correspondiente.</w:t>
      </w:r>
    </w:p>
    <w:p>
      <w:pPr>
        <w:numPr>
          <w:ilvl w:val="0"/>
          <w:numId w:val="1008"/>
        </w:numPr>
        <w:pStyle w:val="Compact"/>
      </w:pPr>
      <w:r>
        <w:rPr>
          <w:bCs/>
          <w:b/>
        </w:rPr>
        <w:t xml:space="preserve">MUY BAJA:</w:t>
      </w:r>
      <w:r>
        <w:t xml:space="preserve"> </w:t>
      </w:r>
      <w:r>
        <w:t xml:space="preserve">0 % de la puntuación de la sección correspondiente.</w:t>
      </w:r>
    </w:p>
    <w:p>
      <w:pPr>
        <w:pStyle w:val="FirstParagraph"/>
      </w:pPr>
      <w:r>
        <w:rPr>
          <w:bCs/>
          <w:b/>
        </w:rPr>
        <w:t xml:space="preserve">Planificación del servicio (15 puntos):</w:t>
      </w:r>
      <w:r>
        <w:t xml:space="preserve"> </w:t>
      </w:r>
      <w:r>
        <w:t xml:space="preserve">Los licitadores presentarán una memoria técnica descriptiva de la prestación del servicio. En dicha memoria se debe de incluir un diagrama de Gantt o similar con un calendario de los trabajos a desarrollar. Así mismo, la memoria deberá de incluir un análisis de riesgos del proyecto, un plan de gestión de contingencias, un plan de gestión de la calidad del servicio, y una descripción de cómo se va a fiscalizar la trazabilidad del servicio. En este apartado en concreto se valorarán los siguientes subcriterios:</w:t>
      </w:r>
    </w:p>
    <w:p>
      <w:pPr>
        <w:numPr>
          <w:ilvl w:val="0"/>
          <w:numId w:val="1009"/>
        </w:numPr>
        <w:pStyle w:val="Compact"/>
      </w:pPr>
      <w:r>
        <w:t xml:space="preserve">Calendario de los trabajos a desarrollar (</w:t>
      </w:r>
      <w:r>
        <w:rPr>
          <w:bCs/>
          <w:b/>
        </w:rPr>
        <w:t xml:space="preserve">11 puntos</w:t>
      </w:r>
      <w:r>
        <w:t xml:space="preserve">),</w:t>
      </w:r>
    </w:p>
    <w:p>
      <w:pPr>
        <w:numPr>
          <w:ilvl w:val="0"/>
          <w:numId w:val="1009"/>
        </w:numPr>
        <w:pStyle w:val="Compact"/>
      </w:pPr>
      <w:r>
        <w:t xml:space="preserve">Análisis de riesgos del proyecto (</w:t>
      </w:r>
      <w:r>
        <w:rPr>
          <w:bCs/>
          <w:b/>
        </w:rPr>
        <w:t xml:space="preserve">1 punto</w:t>
      </w:r>
      <w:r>
        <w:t xml:space="preserve">),</w:t>
      </w:r>
    </w:p>
    <w:p>
      <w:pPr>
        <w:numPr>
          <w:ilvl w:val="0"/>
          <w:numId w:val="1009"/>
        </w:numPr>
        <w:pStyle w:val="Compact"/>
      </w:pPr>
      <w:r>
        <w:t xml:space="preserve">Plan de gestión de contingencias (</w:t>
      </w:r>
      <w:r>
        <w:rPr>
          <w:bCs/>
          <w:b/>
        </w:rPr>
        <w:t xml:space="preserve">1 punto</w:t>
      </w:r>
      <w:r>
        <w:t xml:space="preserve">),</w:t>
      </w:r>
    </w:p>
    <w:p>
      <w:pPr>
        <w:numPr>
          <w:ilvl w:val="0"/>
          <w:numId w:val="1009"/>
        </w:numPr>
        <w:pStyle w:val="Compact"/>
      </w:pPr>
      <w:r>
        <w:t xml:space="preserve">Plan de gestión de la calidad del servicio (</w:t>
      </w:r>
      <w:r>
        <w:rPr>
          <w:bCs/>
          <w:b/>
        </w:rPr>
        <w:t xml:space="preserve">1 punto</w:t>
      </w:r>
      <w:r>
        <w:t xml:space="preserve">),</w:t>
      </w:r>
    </w:p>
    <w:p>
      <w:pPr>
        <w:numPr>
          <w:ilvl w:val="0"/>
          <w:numId w:val="1009"/>
        </w:numPr>
        <w:pStyle w:val="Compact"/>
      </w:pPr>
      <w:r>
        <w:t xml:space="preserve">Trazabilidad del servicio (</w:t>
      </w:r>
      <w:r>
        <w:rPr>
          <w:bCs/>
          <w:b/>
        </w:rPr>
        <w:t xml:space="preserve">1 punto</w:t>
      </w:r>
      <w:r>
        <w:t xml:space="preserve">).</w:t>
      </w:r>
    </w:p>
    <w:p>
      <w:pPr>
        <w:pStyle w:val="FirstParagraph"/>
      </w:pPr>
      <w:r>
        <w:t xml:space="preserve">Cada uno de estos subcriterios se evaluará siguiendo el siguiente árbol de puntuación:</w:t>
      </w:r>
    </w:p>
    <w:p>
      <w:pPr>
        <w:numPr>
          <w:ilvl w:val="0"/>
          <w:numId w:val="1010"/>
        </w:numPr>
      </w:pPr>
      <w:r>
        <w:rPr>
          <w:bCs/>
          <w:b/>
        </w:rPr>
        <w:t xml:space="preserve">EXCELENTE</w:t>
      </w:r>
      <w:r>
        <w:t xml:space="preserve">: Excelente nivel de detalle en cuanto a la planificación, mediante un diagrama de Gantt o similar adaptado al proyecto, con muy buen detalle en cuanto a la ejecución de las diferentes tareas, con fechas específicas de cuándo se va a hacer cada tarea teniendo en cuenta el calendario escolar. Las tareas tienen una excelente coherencia en cuanto a su duración y su relación entre ellas para lograr la consecución de hitos y objetivos definidos. Se presenta un excelente análisis de riesgos del proyecto, un excelente plan de gestión de contingencias, un excelente plan de gestión de la calidad del servicio, y una excelente descripción de cómo se va a fiscalizar la trazabilidad del servicio.</w:t>
      </w:r>
    </w:p>
    <w:p>
      <w:pPr>
        <w:numPr>
          <w:ilvl w:val="0"/>
          <w:numId w:val="1010"/>
        </w:numPr>
      </w:pPr>
      <w:r>
        <w:rPr>
          <w:bCs/>
          <w:b/>
        </w:rPr>
        <w:t xml:space="preserve">ALTA</w:t>
      </w:r>
      <w:r>
        <w:t xml:space="preserve">: Buen nivel de detalle en cuanto a la planificación, mediante un diagrama de Gantt o similar adaptado al proyecto, con buen detalle en cuanto a la ejecución de las diferentes tareas. Las tareas tienen una buena coherencia en cuanto a su duración y relación entre ellas para lograr la consecución de hitos y objetivos definidos. Se presenta un buen análisis de riesgos del proyecto, un buen plan de gestión de contingencias, un buen plan de gestión de la calidad del servicio, y una buena descripción de cómo se va a fiscalizar la trazabilidad del servicio.</w:t>
      </w:r>
    </w:p>
    <w:p>
      <w:pPr>
        <w:numPr>
          <w:ilvl w:val="0"/>
          <w:numId w:val="1010"/>
        </w:numPr>
      </w:pPr>
      <w:r>
        <w:rPr>
          <w:bCs/>
          <w:b/>
        </w:rPr>
        <w:t xml:space="preserve">MEDIA</w:t>
      </w:r>
      <w:r>
        <w:t xml:space="preserve">: Detalle básico en cuanto a la planificación, mediante un diagrama de Gantt o similar, con poco detalle en cuanto a la ejecución de las diferentes tareas. Las tareas tienen una poca de coherencia en cuanto a su duración y su relación entre ellas para lograr la consecución de hitos y objetivos definidos. Se presenta un análisis de riesgos del proyecto correcto, un plan de gestión de contingencias correcto, un plan de gestión de la calidad del servicio correcto, y una descripción correcta de cómo se va a fiscalizar la trazabilidad del servicio.</w:t>
      </w:r>
    </w:p>
    <w:p>
      <w:pPr>
        <w:numPr>
          <w:ilvl w:val="0"/>
          <w:numId w:val="1010"/>
        </w:numPr>
      </w:pPr>
      <w:r>
        <w:rPr>
          <w:bCs/>
          <w:b/>
        </w:rPr>
        <w:t xml:space="preserve">BAJA</w:t>
      </w:r>
      <w:r>
        <w:t xml:space="preserve">: Planificación muy básica, mediante un diagrama de Gantt o similar, con tareas genéricas y con poco detalle en cuanto a la ejecución de las diferentes tareas. Las tareas tienen una nula coherencia en cuanto a su duración y su relación entre ellas para lograr la consecución de hitos y objetivos definidos. Se presenta un mal análisis de riesgos del proyecto, un mal plan de gestión de contingencias, un mal plan de gestión de la calidad del servicio, y una mala descripción de cómo se va a fiscalizar la trazabilidad del servicio.</w:t>
      </w:r>
    </w:p>
    <w:p>
      <w:pPr>
        <w:numPr>
          <w:ilvl w:val="0"/>
          <w:numId w:val="1010"/>
        </w:numPr>
      </w:pPr>
      <w:r>
        <w:rPr>
          <w:bCs/>
          <w:b/>
        </w:rPr>
        <w:t xml:space="preserve">MUY BAJA</w:t>
      </w:r>
      <w:r>
        <w:t xml:space="preserve">: Mala planificación, mediante un diagrama de Gantt o similar, con muy poco detalle en cuanto a la ejecución de las diferentes tareas. Las tareas tienen incoherencias en cuanto a su duración y su relación entre ellas para lograr la consecución de hitos y objetivos definidos. Se presenta un muy mal análisis de riesgos del proyecto, un muy mal plan de gestión de contingencias, un muy mal plan de gestión de la calidad del servicio, y una mala descripción de cómo se va a fiscalizar la trazabilidad del servicio.</w:t>
      </w:r>
    </w:p>
    <w:p>
      <w:pPr>
        <w:pStyle w:val="FirstParagraph"/>
      </w:pPr>
      <w:r>
        <w:t xml:space="preserve">Para cada criterio/subcriterio los porcentajes de las puntuaciones en referencia al árbol de puntuaciones es el siguiente:</w:t>
      </w:r>
    </w:p>
    <w:p>
      <w:pPr>
        <w:numPr>
          <w:ilvl w:val="0"/>
          <w:numId w:val="1011"/>
        </w:numPr>
        <w:pStyle w:val="Compact"/>
      </w:pPr>
      <w:r>
        <w:rPr>
          <w:bCs/>
          <w:b/>
        </w:rPr>
        <w:t xml:space="preserve">EXCELENTE:</w:t>
      </w:r>
      <w:r>
        <w:t xml:space="preserve"> </w:t>
      </w:r>
      <w:r>
        <w:t xml:space="preserve">hasta el 100 % de la puntuación de la sección correspondiente.</w:t>
      </w:r>
    </w:p>
    <w:p>
      <w:pPr>
        <w:numPr>
          <w:ilvl w:val="0"/>
          <w:numId w:val="1011"/>
        </w:numPr>
        <w:pStyle w:val="Compact"/>
      </w:pPr>
      <w:r>
        <w:rPr>
          <w:bCs/>
          <w:b/>
        </w:rPr>
        <w:t xml:space="preserve">ALTA:</w:t>
      </w:r>
      <w:r>
        <w:t xml:space="preserve"> </w:t>
      </w:r>
      <w:r>
        <w:t xml:space="preserve">hasta el 75 % de la puntuación de la sección correspondiente.</w:t>
      </w:r>
    </w:p>
    <w:p>
      <w:pPr>
        <w:numPr>
          <w:ilvl w:val="0"/>
          <w:numId w:val="1011"/>
        </w:numPr>
        <w:pStyle w:val="Compact"/>
      </w:pPr>
      <w:r>
        <w:rPr>
          <w:bCs/>
          <w:b/>
        </w:rPr>
        <w:t xml:space="preserve">MEDIA:</w:t>
      </w:r>
      <w:r>
        <w:t xml:space="preserve"> </w:t>
      </w:r>
      <w:r>
        <w:t xml:space="preserve">hasta el 50 % de la puntuación de la sección correspondiente.</w:t>
      </w:r>
    </w:p>
    <w:p>
      <w:pPr>
        <w:numPr>
          <w:ilvl w:val="0"/>
          <w:numId w:val="1011"/>
        </w:numPr>
        <w:pStyle w:val="Compact"/>
      </w:pPr>
      <w:r>
        <w:rPr>
          <w:bCs/>
          <w:b/>
        </w:rPr>
        <w:t xml:space="preserve">BAJA:</w:t>
      </w:r>
      <w:r>
        <w:t xml:space="preserve"> </w:t>
      </w:r>
      <w:r>
        <w:t xml:space="preserve">hasta el 25 % de la puntuación de la sección correspondiente.</w:t>
      </w:r>
    </w:p>
    <w:p>
      <w:pPr>
        <w:numPr>
          <w:ilvl w:val="0"/>
          <w:numId w:val="1011"/>
        </w:numPr>
        <w:pStyle w:val="Compact"/>
      </w:pPr>
      <w:r>
        <w:rPr>
          <w:bCs/>
          <w:b/>
        </w:rPr>
        <w:t xml:space="preserve">MUY BAJA:</w:t>
      </w:r>
      <w:r>
        <w:t xml:space="preserve"> </w:t>
      </w:r>
      <w:r>
        <w:t xml:space="preserve">0 % de la puntuación de la sección correspondiente.</w:t>
      </w:r>
    </w:p>
    <w:bookmarkEnd w:id="22"/>
    <w:bookmarkEnd w:id="23"/>
    <w:bookmarkStart w:id="24" w:name="precio-de-la-oferta"/>
    <w:p>
      <w:pPr>
        <w:pStyle w:val="Heading2"/>
      </w:pPr>
      <w:r>
        <w:t xml:space="preserve">Precio de la oferta</w:t>
      </w:r>
    </w:p>
    <w:p>
      <w:pPr>
        <w:pStyle w:val="FirstParagraph"/>
      </w:pPr>
      <w:r>
        <w:t xml:space="preserve">70 puntos.</w:t>
      </w:r>
    </w:p>
    <w:bookmarkEnd w:id="24"/>
    <w:bookmarkStart w:id="25" w:name="X77585fdf16d50126ab1e7f91af4c605ce0ea012"/>
    <w:p>
      <w:pPr>
        <w:pStyle w:val="Heading2"/>
      </w:pPr>
      <w:r>
        <w:t xml:space="preserve">Otros criterios automáticos evaluables mediante fórmulas, distintos al precio</w:t>
      </w:r>
    </w:p>
    <w:p>
      <w:pPr>
        <w:pStyle w:val="FirstParagraph"/>
      </w:pPr>
      <w:r>
        <w:t xml:space="preserve">No aplica.</w:t>
      </w:r>
    </w:p>
    <w:bookmarkEnd w:id="25"/>
    <w:bookmarkStart w:id="26" w:name="X4f4b81f32efd18bdbf8ae46f6cf47a1ad0c5ed9"/>
    <w:p>
      <w:pPr>
        <w:pStyle w:val="Heading2"/>
      </w:pPr>
      <w:r>
        <w:t xml:space="preserve">Fórmulas aplicables a los criterios automáticos evaluables mediante fórmulas</w:t>
      </w:r>
    </w:p>
    <w:p>
      <w:pPr>
        <w:pStyle w:val="FirstParagraph"/>
      </w:pPr>
      <w:r>
        <w:t xml:space="preserve">No aplica.</w:t>
      </w:r>
    </w:p>
    <w:bookmarkEnd w:id="26"/>
    <w:bookmarkStart w:id="27" w:name="umbral-de-calidad"/>
    <w:p>
      <w:pPr>
        <w:pStyle w:val="Heading2"/>
      </w:pPr>
      <w:r>
        <w:t xml:space="preserve">Umbral de calidad</w:t>
      </w:r>
    </w:p>
    <w:p>
      <w:pPr>
        <w:pStyle w:val="FirstParagraph"/>
      </w:pPr>
      <w:r>
        <w:rPr>
          <w:bCs/>
          <w:b/>
        </w:rPr>
        <w:t xml:space="preserve">El presente procedimiento se articula en dos fases correspondientes a la valoración de criterios sujetos a juicio de valor y la correspondiente a criterios evaluables mediante fórmulas (Sobres nº1 y Sobre nº 2). Se establece un umbral del 50% en la puntuación del conjunto de los criterios cualitativos (todos los criterios excepto el precio), resultando excluidas todas aquellas ofertas que no alcancen dicho umbral. Este umbral se aplicará:</w:t>
      </w:r>
    </w:p>
    <w:p>
      <w:pPr>
        <w:numPr>
          <w:ilvl w:val="0"/>
          <w:numId w:val="1012"/>
        </w:numPr>
      </w:pPr>
      <w:r>
        <w:rPr>
          <w:bCs/>
          <w:b/>
        </w:rPr>
        <w:t xml:space="preserve">Si no existen criterios evaluables mediante fórmula (distintos del criterio precio), una vez abierto el Sobre nº 1;</w:t>
      </w:r>
    </w:p>
    <w:p>
      <w:pPr>
        <w:numPr>
          <w:ilvl w:val="0"/>
          <w:numId w:val="1012"/>
        </w:numPr>
      </w:pPr>
      <w:r>
        <w:rPr>
          <w:bCs/>
          <w:b/>
        </w:rPr>
        <w:t xml:space="preserve">Si existen criterios evaluables mediante fórmula, una vez abiertos el sobre 1 y el sobre 2.1, calculando el umbral sobre la totalidad de criterios distintos del precio.</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2026-07-11T17:19:06Z</dcterms:created>
  <dcterms:modified xsi:type="dcterms:W3CDTF">2026-07-11T17:19:06Z</dcterms:modified>
</cp:coreProperties>
</file>

<file path=docProps/custom.xml><?xml version="1.0" encoding="utf-8"?>
<Properties xmlns="http://schemas.openxmlformats.org/officeDocument/2006/custom-properties" xmlns:vt="http://schemas.openxmlformats.org/officeDocument/2006/docPropsVTypes"/>
</file>