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0788621938.png"/>
            <wp:cNvGraphicFramePr/>
            <a:graphic xmlns:a="http://schemas.openxmlformats.org/drawingml/2006/main">
              <a:graphicData uri="http://schemas.openxmlformats.org/drawingml/2006/picture">
                <pic:pic xmlns:pic="http://schemas.openxmlformats.org/drawingml/2006/picture">
                  <pic:nvPicPr>
                    <pic:cNvPr id="2" name="Picture 2" descr="image1790788621938.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b w:val="true"/>
          <w:sz w:val="75"/>
        </w:rPr>
        <w:t>G</w:t>
      </w:r>
      <w:r>
        <w:rPr>
          <w:rFonts w:ascii="Arial" w:hAnsi="Arial" w:cs="Arial" w:eastAsia="Arial"/>
          <w:b w:val="true"/>
          <w:sz w:val="75"/>
        </w:rPr>
        <w:t>YANG CORPORATE CONSULT</w:t>
      </w:r>
    </w:p>
    <w:p>
      <w:pPr>
        <w:spacing w:line="270" w:lineRule="auto" w:after="0" w:before="0"/>
        <w:ind w:right="0" w:left="0"/>
      </w:pPr>
      <w:r>
        <w:rPr>
          <w:rFonts w:ascii="Arial" w:hAnsi="Arial" w:cs="Arial" w:eastAsia="Arial"/>
          <w:b w:val="true"/>
          <w:sz w:val="54"/>
        </w:rPr>
        <w:t>Professional Solutions in Security, Corporate Crime Prevention, Investigation and Business Advisory</w:t>
      </w:r>
    </w:p>
    <w:p>
      <w:pPr>
        <w:spacing w:line="270" w:lineRule="auto" w:after="0" w:before="0"/>
        <w:ind w:right="0" w:left="0"/>
      </w:pPr>
      <w:r>
        <w:rPr>
          <w:rFonts w:ascii="Arial" w:hAnsi="Arial" w:cs="Arial" w:eastAsia="Arial"/>
          <w:b w:val="true"/>
          <w:sz w:val="54"/>
        </w:rPr>
        <w:t>Gyang Corporate Consult</w:t>
      </w:r>
      <w:r>
        <w:rPr>
          <w:rFonts w:ascii="Arial" w:hAnsi="Arial" w:cs="Arial" w:eastAsia="Arial"/>
          <w:sz w:val="54"/>
        </w:rPr>
        <w:t xml:space="preserve"> is a Ghanaian limited liability company established to provide professional, practical and confidential consultancy services to businesses, institutions, public organisations, civil society organisations and other entities seeking to strengthen their security, governance, financial integrity, dispute-resolution mechanisms and organisational effectiveness.</w:t>
      </w:r>
    </w:p>
    <w:p>
      <w:pPr>
        <w:spacing w:line="270" w:lineRule="auto" w:after="0" w:before="0"/>
        <w:ind w:right="0" w:left="0"/>
      </w:pPr>
      <w:r>
        <w:rPr>
          <w:rFonts w:ascii="Arial" w:hAnsi="Arial" w:cs="Arial" w:eastAsia="Arial"/>
          <w:sz w:val="54"/>
        </w:rPr>
        <w:t xml:space="preserve">The company operates with a particular focus on the </w:t>
      </w:r>
      <w:r>
        <w:rPr>
          <w:rFonts w:ascii="Arial" w:hAnsi="Arial" w:cs="Arial" w:eastAsia="Arial"/>
          <w:b w:val="true"/>
          <w:sz w:val="54"/>
        </w:rPr>
        <w:t>five northern regions of Ghana — Northern, Savannah, North East, Upper East and Upper West Regions</w:t>
      </w:r>
      <w:r>
        <w:rPr>
          <w:rFonts w:ascii="Arial" w:hAnsi="Arial" w:cs="Arial" w:eastAsia="Arial"/>
          <w:sz w:val="54"/>
        </w:rPr>
        <w:t>, while remaining available to clients throughout Ghana.</w:t>
      </w:r>
    </w:p>
    <w:p>
      <w:pPr>
        <w:spacing w:line="270" w:lineRule="auto" w:after="0" w:before="0"/>
        <w:ind w:right="0" w:left="0"/>
      </w:pPr>
      <w:r>
        <w:rPr>
          <w:rFonts w:ascii="Arial" w:hAnsi="Arial" w:cs="Arial" w:eastAsia="Arial"/>
          <w:sz w:val="54"/>
        </w:rPr>
        <w:t xml:space="preserve">Gyanbg Corporate Consult brings together </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0788621988.png"/>
            <wp:cNvGraphicFramePr/>
            <a:graphic xmlns:a="http://schemas.openxmlformats.org/drawingml/2006/main">
              <a:graphicData uri="http://schemas.openxmlformats.org/drawingml/2006/picture">
                <pic:pic xmlns:pic="http://schemas.openxmlformats.org/drawingml/2006/picture">
                  <pic:nvPicPr>
                    <pic:cNvPr id="3" name="Picture 3" descr="image1790788621988.png"/>
                    <pic:cNvPicPr>
                      <a:picLocks noChangeAspect="true"/>
                    </pic:cNvPicPr>
                  </pic:nvPicPr>
                  <pic:blipFill>
                    <a:blip r:embed="rId3"/>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sz w:val="54"/>
        </w:rPr>
        <w:t xml:space="preserve">expertise in </w:t>
      </w:r>
      <w:r>
        <w:rPr>
          <w:rFonts w:ascii="Arial" w:hAnsi="Arial" w:cs="Arial" w:eastAsia="Arial"/>
          <w:b w:val="true"/>
          <w:sz w:val="54"/>
        </w:rPr>
        <w:t>security management, corporate crime investigation, due diligence, asset tracing, debt recovery, Alternative Dispute Resolution (ADR), proposal development, workshops, conferences and institutional capacity building.</w:t>
      </w:r>
    </w:p>
    <w:p>
      <w:pPr>
        <w:spacing w:line="270" w:lineRule="auto" w:after="0" w:before="0"/>
        <w:ind w:right="0" w:left="0"/>
      </w:pPr>
      <w:r>
        <w:rPr>
          <w:rFonts w:ascii="Arial" w:hAnsi="Arial" w:cs="Arial" w:eastAsia="Arial"/>
          <w:sz w:val="54"/>
        </w:rPr>
        <w:t>Our approach is practical, confidential, evidence-based and tailored to the specific needs of each client.</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75"/>
        </w:rPr>
        <w:t>ABOUT US</w:t>
      </w:r>
    </w:p>
    <w:p>
      <w:pPr>
        <w:spacing w:line="270" w:lineRule="auto" w:after="0" w:before="0"/>
        <w:ind w:right="0" w:left="0"/>
      </w:pPr>
      <w:r>
        <w:rPr>
          <w:rFonts w:ascii="Arial" w:hAnsi="Arial" w:cs="Arial" w:eastAsia="Arial"/>
          <w:sz w:val="54"/>
        </w:rPr>
        <w:t>Gyang Corporate Consult was established to respond to the growing need for professional corporate advisory, security and crime-prevention services in Ghana.</w:t>
      </w:r>
    </w:p>
    <w:p>
      <w:pPr>
        <w:spacing w:line="270" w:lineRule="auto" w:after="0" w:before="0"/>
        <w:ind w:right="0" w:left="0"/>
      </w:pPr>
      <w:r>
        <w:rPr>
          <w:rFonts w:ascii="Arial" w:hAnsi="Arial" w:cs="Arial" w:eastAsia="Arial"/>
          <w:sz w:val="54"/>
        </w:rPr>
        <w:t>Organisations today face a range of risks, including fraud, theft, financial misconduct, employee-related losses, corporate disputes, inadequate internal controls, reputational risks, debt recovery challenges and security threats.</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0788622000.png"/>
            <wp:cNvGraphicFramePr/>
            <a:graphic xmlns:a="http://schemas.openxmlformats.org/drawingml/2006/main">
              <a:graphicData uri="http://schemas.openxmlformats.org/drawingml/2006/picture">
                <pic:pic xmlns:pic="http://schemas.openxmlformats.org/drawingml/2006/picture">
                  <pic:nvPicPr>
                    <pic:cNvPr id="4" name="Picture 4" descr="image1790788622000.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sz w:val="54"/>
        </w:rPr>
        <w:t xml:space="preserve">Gyanbg Corporate Consult works with organisations to </w:t>
      </w:r>
      <w:r>
        <w:rPr>
          <w:rFonts w:ascii="Arial" w:hAnsi="Arial" w:cs="Arial" w:eastAsia="Arial"/>
          <w:b w:val="true"/>
          <w:sz w:val="54"/>
        </w:rPr>
        <w:t>identify risks, strengthen preventive systems, investigate suspected wrongdoing, recover assets and debts where appropriate, resolve disputes and build the capacity of personnel to protect organisational resources.</w:t>
      </w:r>
    </w:p>
    <w:p>
      <w:pPr>
        <w:spacing w:line="270" w:lineRule="auto" w:after="0" w:before="0"/>
        <w:ind w:right="0" w:left="0"/>
      </w:pPr>
      <w:r>
        <w:rPr>
          <w:rFonts w:ascii="Arial" w:hAnsi="Arial" w:cs="Arial" w:eastAsia="Arial"/>
          <w:sz w:val="54"/>
        </w:rPr>
        <w:t>Our services are designed for both public and private sector organisations, with particular attention to the operational realities of institutions in Northern Ghana.</w:t>
      </w:r>
    </w:p>
    <w:p>
      <w:pPr>
        <w:spacing w:line="270" w:lineRule="auto" w:after="0" w:before="0"/>
        <w:ind w:right="0" w:left="0"/>
      </w:pPr>
      <w:r>
        <w:rPr>
          <w:rFonts w:ascii="Arial" w:hAnsi="Arial" w:cs="Arial" w:eastAsia="Arial"/>
          <w:sz w:val="54"/>
        </w:rPr>
        <w:t>We believe that effective prevention is often more valuable than responding to losses after they have occurred.</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75"/>
        </w:rPr>
        <w:t>OUR VISION</w:t>
      </w:r>
    </w:p>
    <w:p>
      <w:pPr>
        <w:spacing w:line="270" w:lineRule="auto" w:after="0" w:before="0"/>
        <w:ind w:right="0" w:left="0"/>
      </w:pPr>
      <w:r>
        <w:rPr>
          <w:rFonts w:ascii="Arial" w:hAnsi="Arial" w:cs="Arial" w:eastAsia="Arial"/>
          <w:b w:val="true"/>
          <w:sz w:val="54"/>
        </w:rPr>
        <w:t xml:space="preserve">To become a trusted and respected corporate consultancy in Ghana, providing professional, ethical and practical solutions in security </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0788622005.png"/>
            <wp:cNvGraphicFramePr/>
            <a:graphic xmlns:a="http://schemas.openxmlformats.org/drawingml/2006/main">
              <a:graphicData uri="http://schemas.openxmlformats.org/drawingml/2006/picture">
                <pic:pic xmlns:pic="http://schemas.openxmlformats.org/drawingml/2006/picture">
                  <pic:nvPicPr>
                    <pic:cNvPr id="5" name="Picture 5" descr="image1790788622005.png"/>
                    <pic:cNvPicPr>
                      <a:picLocks noChangeAspect="true"/>
                    </pic:cNvPicPr>
                  </pic:nvPicPr>
                  <pic:blipFill>
                    <a:blip r:embed="rId5"/>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b w:val="true"/>
          <w:sz w:val="54"/>
        </w:rPr>
        <w:t>management, corporate crime prevention, investigations, dispute resolution and organisational risk management.</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75"/>
        </w:rPr>
        <w:t>OUR MISSION</w:t>
      </w:r>
    </w:p>
    <w:p>
      <w:pPr>
        <w:spacing w:line="270" w:lineRule="auto" w:after="0" w:before="0"/>
        <w:ind w:right="0" w:left="0"/>
      </w:pPr>
      <w:r>
        <w:rPr>
          <w:rFonts w:ascii="Arial" w:hAnsi="Arial" w:cs="Arial" w:eastAsia="Arial"/>
          <w:b w:val="true"/>
          <w:sz w:val="54"/>
        </w:rPr>
        <w:t>To provide professional, confidential and evidence-based consultancy services that help organisations prevent crime, protect assets, resolve disputes, manage risks, strengthen internal systems and improve organisational effectiveness.</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75"/>
        </w:rPr>
        <w:t>OUR CORE OBJECTIVES</w:t>
      </w:r>
    </w:p>
    <w:p>
      <w:pPr>
        <w:spacing w:line="270" w:lineRule="auto" w:after="0" w:before="0"/>
        <w:ind w:right="0" w:left="0"/>
      </w:pPr>
      <w:r>
        <w:rPr>
          <w:rFonts w:ascii="Arial" w:hAnsi="Arial" w:cs="Arial" w:eastAsia="Arial"/>
          <w:sz w:val="54"/>
        </w:rPr>
        <w:t>Gyanbg Corporate Consult seeks to:</w:t>
      </w:r>
    </w:p>
    <w:p>
      <w:pPr>
        <w:numPr>
          <w:numId w:val="1"/>
        </w:numPr>
        <w:spacing w:line="270" w:lineRule="auto" w:after="0" w:before="0"/>
        <w:ind w:right="0" w:left="0"/>
      </w:pPr>
      <w:r>
        <w:rPr>
          <w:rFonts w:ascii="Arial" w:hAnsi="Arial" w:cs="Arial" w:eastAsia="Arial"/>
          <w:sz w:val="54"/>
        </w:rPr>
        <w:t>Provide professional security management and corporate risk advisory services.</w:t>
      </w:r>
    </w:p>
    <w:p>
      <w:pPr>
        <w:numPr>
          <w:numId w:val="2"/>
        </w:numPr>
        <w:spacing w:line="270" w:lineRule="auto" w:after="0" w:before="0"/>
        <w:ind w:right="0" w:left="0"/>
      </w:pPr>
      <w:r>
        <w:rPr>
          <w:rFonts w:ascii="Arial" w:hAnsi="Arial" w:cs="Arial" w:eastAsia="Arial"/>
          <w:sz w:val="54"/>
        </w:rPr>
        <w:t xml:space="preserve">Assist organisations in preventing and </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0788622024.png"/>
            <wp:cNvGraphicFramePr/>
            <a:graphic xmlns:a="http://schemas.openxmlformats.org/drawingml/2006/main">
              <a:graphicData uri="http://schemas.openxmlformats.org/drawingml/2006/picture">
                <pic:pic xmlns:pic="http://schemas.openxmlformats.org/drawingml/2006/picture">
                  <pic:nvPicPr>
                    <pic:cNvPr id="7" name="Picture 7" descr="image1790788622024.png"/>
                    <pic:cNvPicPr>
                      <a:picLocks noChangeAspect="true"/>
                    </pic:cNvPicPr>
                  </pic:nvPicPr>
                  <pic:blipFill>
                    <a:blip r:embed="rId7"/>
                    <a:stretch>
                      <a:fillRect/>
                    </a:stretch>
                  </pic:blipFill>
                  <pic:spPr>
                    <a:xfrm>
                      <a:off x="0" y="0"/>
                      <a:ext cx="16802100" cy="23749000"/>
                    </a:xfrm>
                    <a:prstGeom prst="rect">
                      <a:avLst/>
                    </a:prstGeom>
                  </pic:spPr>
                </pic:pic>
              </a:graphicData>
            </a:graphic>
          </wp:anchor>
        </w:drawing>
      </w:r>
    </w:p>
    <w:p>
      <w:pPr>
        <w:numPr>
          <w:numId w:val="3"/>
        </w:numPr>
        <w:spacing w:line="270" w:lineRule="auto" w:after="0" w:before="0"/>
        <w:ind w:right="0" w:left="0"/>
      </w:pPr>
      <w:r>
        <w:rPr>
          <w:rFonts w:ascii="Arial" w:hAnsi="Arial" w:cs="Arial" w:eastAsia="Arial"/>
          <w:sz w:val="54"/>
        </w:rPr>
        <w:t>detecting corporate crime, fraud and other forms of misconduct.</w:t>
      </w:r>
    </w:p>
    <w:p>
      <w:pPr>
        <w:numPr>
          <w:numId w:val="4"/>
        </w:numPr>
        <w:spacing w:line="270" w:lineRule="auto" w:after="0" w:before="0"/>
        <w:ind w:right="0" w:left="0"/>
      </w:pPr>
      <w:r>
        <w:rPr>
          <w:rFonts w:ascii="Arial" w:hAnsi="Arial" w:cs="Arial" w:eastAsia="Arial"/>
          <w:sz w:val="54"/>
        </w:rPr>
        <w:t>Provide professional corporate investigation and fact-finding services within applicable laws and professional standards.</w:t>
      </w:r>
    </w:p>
    <w:p>
      <w:pPr>
        <w:numPr>
          <w:numId w:val="5"/>
        </w:numPr>
        <w:spacing w:line="270" w:lineRule="auto" w:after="0" w:before="0"/>
        <w:ind w:right="0" w:left="0"/>
      </w:pPr>
      <w:r>
        <w:rPr>
          <w:rFonts w:ascii="Arial" w:hAnsi="Arial" w:cs="Arial" w:eastAsia="Arial"/>
          <w:sz w:val="54"/>
        </w:rPr>
        <w:t>Conduct due diligence to assist clients in making informed business and institutional decisions.</w:t>
      </w:r>
    </w:p>
    <w:p>
      <w:pPr>
        <w:numPr>
          <w:numId w:val="6"/>
        </w:numPr>
        <w:spacing w:line="270" w:lineRule="auto" w:after="0" w:before="0"/>
        <w:ind w:right="0" w:left="0"/>
      </w:pPr>
      <w:r>
        <w:rPr>
          <w:rFonts w:ascii="Arial" w:hAnsi="Arial" w:cs="Arial" w:eastAsia="Arial"/>
          <w:sz w:val="54"/>
        </w:rPr>
        <w:t>Assist clients in tracing assets and identifying information relevant to legitimate recovery processes.</w:t>
      </w:r>
    </w:p>
    <w:p>
      <w:pPr>
        <w:numPr>
          <w:numId w:val="7"/>
        </w:numPr>
        <w:spacing w:line="270" w:lineRule="auto" w:after="0" w:before="0"/>
        <w:ind w:right="0" w:left="0"/>
      </w:pPr>
      <w:r>
        <w:rPr>
          <w:rFonts w:ascii="Arial" w:hAnsi="Arial" w:cs="Arial" w:eastAsia="Arial"/>
          <w:sz w:val="54"/>
        </w:rPr>
        <w:t>Support organisations in debt recovery through lawful and professional approaches.</w:t>
      </w:r>
    </w:p>
    <w:p>
      <w:pPr>
        <w:numPr>
          <w:numId w:val="8"/>
        </w:numPr>
        <w:spacing w:line="270" w:lineRule="auto" w:after="0" w:before="0"/>
        <w:ind w:right="0" w:left="0"/>
      </w:pPr>
      <w:r>
        <w:rPr>
          <w:rFonts w:ascii="Arial" w:hAnsi="Arial" w:cs="Arial" w:eastAsia="Arial"/>
          <w:sz w:val="54"/>
        </w:rPr>
        <w:t>Provide Alternative Dispute Resolution services to help parties resolve disputes efficiently and constructively.</w:t>
      </w:r>
    </w:p>
    <w:p>
      <w:pPr>
        <w:numPr>
          <w:numId w:val="9"/>
        </w:numPr>
        <w:spacing w:line="270" w:lineRule="auto" w:after="0" w:before="0"/>
        <w:ind w:right="0" w:left="0"/>
      </w:pPr>
      <w:r>
        <w:rPr>
          <w:rFonts w:ascii="Arial" w:hAnsi="Arial" w:cs="Arial" w:eastAsia="Arial"/>
          <w:sz w:val="54"/>
        </w:rPr>
        <w:t>Develop and deliver workshops, conferences, seminars and executive training programmes.</w:t>
      </w:r>
    </w:p>
    <w:p>
      <w:pPr>
        <w:numPr>
          <w:numId w:val="10"/>
        </w:numPr>
        <w:spacing w:line="270" w:lineRule="auto" w:after="0" w:before="0"/>
        <w:ind w:right="0" w:left="0"/>
      </w:pPr>
      <w:r>
        <w:rPr>
          <w:rFonts w:ascii="Arial" w:hAnsi="Arial" w:cs="Arial" w:eastAsia="Arial"/>
          <w:sz w:val="54"/>
        </w:rPr>
        <w:t>Assist organisations, NGOs and institutions with professional proposal and concept-note development.</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0788622033.png"/>
            <wp:cNvGraphicFramePr/>
            <a:graphic xmlns:a="http://schemas.openxmlformats.org/drawingml/2006/main">
              <a:graphicData uri="http://schemas.openxmlformats.org/drawingml/2006/picture">
                <pic:pic xmlns:pic="http://schemas.openxmlformats.org/drawingml/2006/picture">
                  <pic:nvPicPr>
                    <pic:cNvPr id="8" name="Picture 8" descr="image1790788622033.png"/>
                    <pic:cNvPicPr>
                      <a:picLocks noChangeAspect="true"/>
                    </pic:cNvPicPr>
                  </pic:nvPicPr>
                  <pic:blipFill>
                    <a:blip r:embed="rId8"/>
                    <a:stretch>
                      <a:fillRect/>
                    </a:stretch>
                  </pic:blipFill>
                  <pic:spPr>
                    <a:xfrm>
                      <a:off x="0" y="0"/>
                      <a:ext cx="16802100" cy="23749000"/>
                    </a:xfrm>
                    <a:prstGeom prst="rect">
                      <a:avLst/>
                    </a:prstGeom>
                  </pic:spPr>
                </pic:pic>
              </a:graphicData>
            </a:graphic>
          </wp:anchor>
        </w:drawing>
      </w:r>
    </w:p>
    <w:p>
      <w:pPr>
        <w:numPr>
          <w:numId w:val="11"/>
        </w:numPr>
        <w:spacing w:line="270" w:lineRule="auto" w:after="0" w:before="0"/>
        <w:ind w:right="0" w:left="0"/>
      </w:pPr>
      <w:r>
        <w:rPr>
          <w:rFonts w:ascii="Arial" w:hAnsi="Arial" w:cs="Arial" w:eastAsia="Arial"/>
          <w:sz w:val="54"/>
        </w:rPr>
        <w:t>Strengthen the capacity of organisations to identify, assess and manage security, fraud and operational risks.</w:t>
      </w:r>
    </w:p>
    <w:p>
      <w:pPr>
        <w:numPr>
          <w:numId w:val="12"/>
        </w:numPr>
        <w:spacing w:line="270" w:lineRule="auto" w:after="0" w:before="0"/>
        <w:ind w:right="0" w:left="0"/>
      </w:pPr>
      <w:r>
        <w:rPr>
          <w:rFonts w:ascii="Arial" w:hAnsi="Arial" w:cs="Arial" w:eastAsia="Arial"/>
          <w:sz w:val="54"/>
        </w:rPr>
        <w:t>Promote ethical conduct, accountability, integrity and responsible corporate governance.</w:t>
      </w:r>
    </w:p>
    <w:p>
      <w:pPr>
        <w:numPr>
          <w:numId w:val="13"/>
        </w:numPr>
        <w:spacing w:line="270" w:lineRule="auto" w:after="0" w:before="0"/>
        <w:ind w:right="0" w:left="0"/>
      </w:pPr>
      <w:r>
        <w:rPr>
          <w:rFonts w:ascii="Arial" w:hAnsi="Arial" w:cs="Arial" w:eastAsia="Arial"/>
          <w:sz w:val="54"/>
        </w:rPr>
        <w:t>Provide specialised consultancy services to organisations operating in Northern Ghana and other parts of the country.</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75"/>
        </w:rPr>
        <w:t>OUR CORE SERVICES</w:t>
      </w:r>
    </w:p>
    <w:p>
      <w:pPr>
        <w:spacing w:line="270" w:lineRule="auto" w:after="0" w:before="0"/>
        <w:ind w:right="0" w:left="0"/>
      </w:pPr>
      <w:r>
        <w:rPr>
          <w:rFonts w:ascii="Arial" w:hAnsi="Arial" w:cs="Arial" w:eastAsia="Arial"/>
          <w:b w:val="true"/>
          <w:sz w:val="68"/>
        </w:rPr>
        <w:t>1. SECURITY MANAGEMENT</w:t>
      </w:r>
    </w:p>
    <w:p>
      <w:pPr>
        <w:spacing w:line="270" w:lineRule="auto" w:after="0" w:before="0"/>
        <w:ind w:right="0" w:left="0"/>
      </w:pPr>
      <w:r>
        <w:rPr>
          <w:rFonts w:ascii="Arial" w:hAnsi="Arial" w:cs="Arial" w:eastAsia="Arial"/>
          <w:sz w:val="54"/>
        </w:rPr>
        <w:t>We provide security management advisory services designed to help organisations understand and manage their security risks.</w:t>
      </w:r>
    </w:p>
    <w:p>
      <w:pPr>
        <w:spacing w:line="270" w:lineRule="auto" w:after="0" w:before="0"/>
        <w:ind w:right="0" w:left="0"/>
      </w:pPr>
      <w:r>
        <w:rPr>
          <w:rFonts w:ascii="Arial" w:hAnsi="Arial" w:cs="Arial" w:eastAsia="Arial"/>
          <w:sz w:val="54"/>
        </w:rPr>
        <w:t>Services may include:</w:t>
      </w:r>
    </w:p>
    <w:p>
      <w:pPr>
        <w:numPr>
          <w:numId w:val="14"/>
        </w:numPr>
        <w:spacing w:line="270" w:lineRule="auto" w:after="0" w:before="0"/>
        <w:ind w:right="0" w:left="0"/>
      </w:pPr>
      <w:r>
        <w:rPr>
          <w:rFonts w:ascii="Arial" w:hAnsi="Arial" w:cs="Arial" w:eastAsia="Arial"/>
          <w:sz w:val="54"/>
        </w:rPr>
        <w:t>Security risk assessments</w:t>
      </w:r>
    </w:p>
    <w:p>
      <w:pPr>
        <w:numPr>
          <w:numId w:val="14"/>
        </w:numPr>
        <w:spacing w:line="270" w:lineRule="auto" w:after="0" w:before="0"/>
        <w:ind w:right="0" w:left="0"/>
      </w:pPr>
      <w:r>
        <w:rPr>
          <w:rFonts w:ascii="Arial" w:hAnsi="Arial" w:cs="Arial" w:eastAsia="Arial"/>
          <w:sz w:val="54"/>
        </w:rPr>
        <w:t>Security management reviews</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0788622041.png"/>
            <wp:cNvGraphicFramePr/>
            <a:graphic xmlns:a="http://schemas.openxmlformats.org/drawingml/2006/main">
              <a:graphicData uri="http://schemas.openxmlformats.org/drawingml/2006/picture">
                <pic:pic xmlns:pic="http://schemas.openxmlformats.org/drawingml/2006/picture">
                  <pic:nvPicPr>
                    <pic:cNvPr id="9" name="Picture 9" descr="image1790788622041.png"/>
                    <pic:cNvPicPr>
                      <a:picLocks noChangeAspect="true"/>
                    </pic:cNvPicPr>
                  </pic:nvPicPr>
                  <pic:blipFill>
                    <a:blip r:embed="rId9"/>
                    <a:stretch>
                      <a:fillRect/>
                    </a:stretch>
                  </pic:blipFill>
                  <pic:spPr>
                    <a:xfrm>
                      <a:off x="0" y="0"/>
                      <a:ext cx="16802100" cy="23749000"/>
                    </a:xfrm>
                    <a:prstGeom prst="rect">
                      <a:avLst/>
                    </a:prstGeom>
                  </pic:spPr>
                </pic:pic>
              </a:graphicData>
            </a:graphic>
          </wp:anchor>
        </w:drawing>
      </w:r>
    </w:p>
    <w:p>
      <w:pPr>
        <w:numPr>
          <w:numId w:val="14"/>
        </w:numPr>
        <w:spacing w:line="270" w:lineRule="auto" w:after="0" w:before="0"/>
        <w:ind w:right="0" w:left="0"/>
      </w:pPr>
      <w:r>
        <w:rPr>
          <w:rFonts w:ascii="Arial" w:hAnsi="Arial" w:cs="Arial" w:eastAsia="Arial"/>
          <w:sz w:val="54"/>
        </w:rPr>
        <w:t>Workplace security</w:t>
      </w:r>
    </w:p>
    <w:p>
      <w:pPr>
        <w:numPr>
          <w:numId w:val="14"/>
        </w:numPr>
        <w:spacing w:line="270" w:lineRule="auto" w:after="0" w:before="0"/>
        <w:ind w:right="0" w:left="0"/>
      </w:pPr>
      <w:r>
        <w:rPr>
          <w:rFonts w:ascii="Arial" w:hAnsi="Arial" w:cs="Arial" w:eastAsia="Arial"/>
          <w:sz w:val="54"/>
        </w:rPr>
        <w:t>Physical security assessment</w:t>
      </w:r>
    </w:p>
    <w:p>
      <w:pPr>
        <w:numPr>
          <w:numId w:val="14"/>
        </w:numPr>
        <w:spacing w:line="270" w:lineRule="auto" w:after="0" w:before="0"/>
        <w:ind w:right="0" w:left="0"/>
      </w:pPr>
      <w:r>
        <w:rPr>
          <w:rFonts w:ascii="Arial" w:hAnsi="Arial" w:cs="Arial" w:eastAsia="Arial"/>
          <w:sz w:val="54"/>
        </w:rPr>
        <w:t>Access-control reviews</w:t>
      </w:r>
    </w:p>
    <w:p>
      <w:pPr>
        <w:numPr>
          <w:numId w:val="14"/>
        </w:numPr>
        <w:spacing w:line="270" w:lineRule="auto" w:after="0" w:before="0"/>
        <w:ind w:right="0" w:left="0"/>
      </w:pPr>
      <w:r>
        <w:rPr>
          <w:rFonts w:ascii="Arial" w:hAnsi="Arial" w:cs="Arial" w:eastAsia="Arial"/>
          <w:sz w:val="54"/>
        </w:rPr>
        <w:t>Security policies and procedures</w:t>
      </w:r>
    </w:p>
    <w:p>
      <w:pPr>
        <w:numPr>
          <w:numId w:val="14"/>
        </w:numPr>
        <w:spacing w:line="270" w:lineRule="auto" w:after="0" w:before="0"/>
        <w:ind w:right="0" w:left="0"/>
      </w:pPr>
      <w:r>
        <w:rPr>
          <w:rFonts w:ascii="Arial" w:hAnsi="Arial" w:cs="Arial" w:eastAsia="Arial"/>
          <w:sz w:val="54"/>
        </w:rPr>
        <w:t>Incident management</w:t>
      </w:r>
    </w:p>
    <w:p>
      <w:pPr>
        <w:numPr>
          <w:numId w:val="14"/>
        </w:numPr>
        <w:spacing w:line="270" w:lineRule="auto" w:after="0" w:before="0"/>
        <w:ind w:right="0" w:left="0"/>
      </w:pPr>
      <w:r>
        <w:rPr>
          <w:rFonts w:ascii="Arial" w:hAnsi="Arial" w:cs="Arial" w:eastAsia="Arial"/>
          <w:sz w:val="54"/>
        </w:rPr>
        <w:t>Security awareness programmes</w:t>
      </w:r>
    </w:p>
    <w:p>
      <w:pPr>
        <w:numPr>
          <w:numId w:val="14"/>
        </w:numPr>
        <w:spacing w:line="270" w:lineRule="auto" w:after="0" w:before="0"/>
        <w:ind w:right="0" w:left="0"/>
      </w:pPr>
      <w:r>
        <w:rPr>
          <w:rFonts w:ascii="Arial" w:hAnsi="Arial" w:cs="Arial" w:eastAsia="Arial"/>
          <w:sz w:val="54"/>
        </w:rPr>
        <w:t>Executive and organisational security advisory</w:t>
      </w:r>
    </w:p>
    <w:p>
      <w:pPr>
        <w:numPr>
          <w:numId w:val="14"/>
        </w:numPr>
        <w:spacing w:line="270" w:lineRule="auto" w:after="0" w:before="0"/>
        <w:ind w:right="0" w:left="0"/>
      </w:pPr>
      <w:r>
        <w:rPr>
          <w:rFonts w:ascii="Arial" w:hAnsi="Arial" w:cs="Arial" w:eastAsia="Arial"/>
          <w:sz w:val="54"/>
        </w:rPr>
        <w:t>Security training and capacity building</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68"/>
        </w:rPr>
        <w:t>2. CORPORATE CRIME INVESTIGATION</w:t>
      </w:r>
    </w:p>
    <w:p>
      <w:pPr>
        <w:spacing w:line="270" w:lineRule="auto" w:after="0" w:before="0"/>
        <w:ind w:right="0" w:left="0"/>
      </w:pPr>
      <w:r>
        <w:rPr>
          <w:rFonts w:ascii="Arial" w:hAnsi="Arial" w:cs="Arial" w:eastAsia="Arial"/>
          <w:sz w:val="54"/>
        </w:rPr>
        <w:t>We assist organisations in addressing suspected internal and external criminal or unethical activities through professional fact-finding and investigative processes.</w:t>
      </w:r>
    </w:p>
    <w:p>
      <w:pPr>
        <w:spacing w:line="270" w:lineRule="auto" w:after="0" w:before="0"/>
        <w:ind w:right="0" w:left="0"/>
      </w:pPr>
      <w:r>
        <w:rPr>
          <w:rFonts w:ascii="Arial" w:hAnsi="Arial" w:cs="Arial" w:eastAsia="Arial"/>
          <w:sz w:val="54"/>
        </w:rPr>
        <w:t>Areas may include:</w:t>
      </w:r>
    </w:p>
    <w:p>
      <w:pPr>
        <w:numPr>
          <w:numId w:val="14"/>
        </w:numPr>
        <w:spacing w:line="270" w:lineRule="auto" w:after="0" w:before="0"/>
        <w:ind w:right="0" w:left="0"/>
      </w:pPr>
      <w:r>
        <w:rPr>
          <w:rFonts w:ascii="Arial" w:hAnsi="Arial" w:cs="Arial" w:eastAsia="Arial"/>
          <w:sz w:val="54"/>
        </w:rPr>
        <w:t>Fraud investigations</w:t>
      </w:r>
    </w:p>
    <w:p>
      <w:pPr>
        <w:numPr>
          <w:numId w:val="14"/>
        </w:numPr>
        <w:spacing w:line="270" w:lineRule="auto" w:after="0" w:before="0"/>
        <w:ind w:right="0" w:left="0"/>
      </w:pPr>
      <w:r>
        <w:rPr>
          <w:rFonts w:ascii="Arial" w:hAnsi="Arial" w:cs="Arial" w:eastAsia="Arial"/>
          <w:sz w:val="54"/>
        </w:rPr>
        <w:t>Theft and loss investigations</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0788622051.png"/>
            <wp:cNvGraphicFramePr/>
            <a:graphic xmlns:a="http://schemas.openxmlformats.org/drawingml/2006/main">
              <a:graphicData uri="http://schemas.openxmlformats.org/drawingml/2006/picture">
                <pic:pic xmlns:pic="http://schemas.openxmlformats.org/drawingml/2006/picture">
                  <pic:nvPicPr>
                    <pic:cNvPr id="10" name="Picture 10" descr="image1790788622051.png"/>
                    <pic:cNvPicPr>
                      <a:picLocks noChangeAspect="true"/>
                    </pic:cNvPicPr>
                  </pic:nvPicPr>
                  <pic:blipFill>
                    <a:blip r:embed="rId10"/>
                    <a:stretch>
                      <a:fillRect/>
                    </a:stretch>
                  </pic:blipFill>
                  <pic:spPr>
                    <a:xfrm>
                      <a:off x="0" y="0"/>
                      <a:ext cx="16802100" cy="23749000"/>
                    </a:xfrm>
                    <a:prstGeom prst="rect">
                      <a:avLst/>
                    </a:prstGeom>
                  </pic:spPr>
                </pic:pic>
              </a:graphicData>
            </a:graphic>
          </wp:anchor>
        </w:drawing>
      </w:r>
    </w:p>
    <w:p>
      <w:pPr>
        <w:numPr>
          <w:numId w:val="14"/>
        </w:numPr>
        <w:spacing w:line="270" w:lineRule="auto" w:after="0" w:before="0"/>
        <w:ind w:right="0" w:left="0"/>
      </w:pPr>
      <w:r>
        <w:rPr>
          <w:rFonts w:ascii="Arial" w:hAnsi="Arial" w:cs="Arial" w:eastAsia="Arial"/>
          <w:sz w:val="54"/>
        </w:rPr>
        <w:t>Procurement-related irregularities</w:t>
      </w:r>
    </w:p>
    <w:p>
      <w:pPr>
        <w:numPr>
          <w:numId w:val="14"/>
        </w:numPr>
        <w:spacing w:line="270" w:lineRule="auto" w:after="0" w:before="0"/>
        <w:ind w:right="0" w:left="0"/>
      </w:pPr>
      <w:r>
        <w:rPr>
          <w:rFonts w:ascii="Arial" w:hAnsi="Arial" w:cs="Arial" w:eastAsia="Arial"/>
          <w:sz w:val="54"/>
        </w:rPr>
        <w:t>Employee misconduct</w:t>
      </w:r>
    </w:p>
    <w:p>
      <w:pPr>
        <w:numPr>
          <w:numId w:val="14"/>
        </w:numPr>
        <w:spacing w:line="270" w:lineRule="auto" w:after="0" w:before="0"/>
        <w:ind w:right="0" w:left="0"/>
      </w:pPr>
      <w:r>
        <w:rPr>
          <w:rFonts w:ascii="Arial" w:hAnsi="Arial" w:cs="Arial" w:eastAsia="Arial"/>
          <w:sz w:val="54"/>
        </w:rPr>
        <w:t>Financial and accounting irregularities</w:t>
      </w:r>
    </w:p>
    <w:p>
      <w:pPr>
        <w:numPr>
          <w:numId w:val="14"/>
        </w:numPr>
        <w:spacing w:line="270" w:lineRule="auto" w:after="0" w:before="0"/>
        <w:ind w:right="0" w:left="0"/>
      </w:pPr>
      <w:r>
        <w:rPr>
          <w:rFonts w:ascii="Arial" w:hAnsi="Arial" w:cs="Arial" w:eastAsia="Arial"/>
          <w:sz w:val="54"/>
        </w:rPr>
        <w:t>Conflict-of-interest concerns</w:t>
      </w:r>
    </w:p>
    <w:p>
      <w:pPr>
        <w:numPr>
          <w:numId w:val="14"/>
        </w:numPr>
        <w:spacing w:line="270" w:lineRule="auto" w:after="0" w:before="0"/>
        <w:ind w:right="0" w:left="0"/>
      </w:pPr>
      <w:r>
        <w:rPr>
          <w:rFonts w:ascii="Arial" w:hAnsi="Arial" w:cs="Arial" w:eastAsia="Arial"/>
          <w:sz w:val="54"/>
        </w:rPr>
        <w:t>Internal control failures</w:t>
      </w:r>
    </w:p>
    <w:p>
      <w:pPr>
        <w:numPr>
          <w:numId w:val="14"/>
        </w:numPr>
        <w:spacing w:line="270" w:lineRule="auto" w:after="0" w:before="0"/>
        <w:ind w:right="0" w:left="0"/>
      </w:pPr>
      <w:r>
        <w:rPr>
          <w:rFonts w:ascii="Arial" w:hAnsi="Arial" w:cs="Arial" w:eastAsia="Arial"/>
          <w:sz w:val="54"/>
        </w:rPr>
        <w:t>Corporate intelligence gathering</w:t>
      </w:r>
    </w:p>
    <w:p>
      <w:pPr>
        <w:numPr>
          <w:numId w:val="14"/>
        </w:numPr>
        <w:spacing w:line="270" w:lineRule="auto" w:after="0" w:before="0"/>
        <w:ind w:right="0" w:left="0"/>
      </w:pPr>
      <w:r>
        <w:rPr>
          <w:rFonts w:ascii="Arial" w:hAnsi="Arial" w:cs="Arial" w:eastAsia="Arial"/>
          <w:sz w:val="54"/>
        </w:rPr>
        <w:t>Background investigations</w:t>
      </w:r>
    </w:p>
    <w:p>
      <w:pPr>
        <w:numPr>
          <w:numId w:val="14"/>
        </w:numPr>
        <w:spacing w:line="270" w:lineRule="auto" w:after="0" w:before="0"/>
        <w:ind w:right="0" w:left="0"/>
      </w:pPr>
      <w:r>
        <w:rPr>
          <w:rFonts w:ascii="Arial" w:hAnsi="Arial" w:cs="Arial" w:eastAsia="Arial"/>
          <w:sz w:val="54"/>
        </w:rPr>
        <w:t>Investigative reporting</w:t>
      </w:r>
    </w:p>
    <w:p>
      <w:pPr>
        <w:spacing w:line="270" w:lineRule="auto" w:after="0" w:before="0"/>
        <w:ind w:right="0" w:left="0"/>
      </w:pPr>
      <w:r>
        <w:rPr>
          <w:rFonts w:ascii="Arial" w:hAnsi="Arial" w:cs="Arial" w:eastAsia="Arial"/>
          <w:sz w:val="54"/>
        </w:rPr>
        <w:t>All investigative assignments are undertaken within applicable laws, professional standards and the terms of engagement agreed with the client.</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68"/>
        </w:rPr>
        <w:t>3. DUE DILIGENCE</w:t>
      </w:r>
    </w:p>
    <w:p>
      <w:pPr>
        <w:spacing w:line="270" w:lineRule="auto" w:after="0" w:before="0"/>
        <w:ind w:right="0" w:left="0"/>
      </w:pPr>
      <w:r>
        <w:rPr>
          <w:rFonts w:ascii="Arial" w:hAnsi="Arial" w:cs="Arial" w:eastAsia="Arial"/>
          <w:sz w:val="54"/>
        </w:rPr>
        <w:t>Before entering into major business relationships, partnerships, contracts or transactions, organisations need reliable information about prospective partners and counterparties.</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0788622058.png"/>
            <wp:cNvGraphicFramePr/>
            <a:graphic xmlns:a="http://schemas.openxmlformats.org/drawingml/2006/main">
              <a:graphicData uri="http://schemas.openxmlformats.org/drawingml/2006/picture">
                <pic:pic xmlns:pic="http://schemas.openxmlformats.org/drawingml/2006/picture">
                  <pic:nvPicPr>
                    <pic:cNvPr id="11" name="Picture 11" descr="image1790788622058.png"/>
                    <pic:cNvPicPr>
                      <a:picLocks noChangeAspect="true"/>
                    </pic:cNvPicPr>
                  </pic:nvPicPr>
                  <pic:blipFill>
                    <a:blip r:embed="rId11"/>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sz w:val="54"/>
        </w:rPr>
        <w:t>Our due-diligence services may assist clients with:</w:t>
      </w:r>
    </w:p>
    <w:p>
      <w:pPr>
        <w:numPr>
          <w:numId w:val="14"/>
        </w:numPr>
        <w:spacing w:line="270" w:lineRule="auto" w:after="0" w:before="0"/>
        <w:ind w:right="0" w:left="0"/>
      </w:pPr>
      <w:r>
        <w:rPr>
          <w:rFonts w:ascii="Arial" w:hAnsi="Arial" w:cs="Arial" w:eastAsia="Arial"/>
          <w:sz w:val="54"/>
        </w:rPr>
        <w:t>Corporate background checks</w:t>
      </w:r>
    </w:p>
    <w:p>
      <w:pPr>
        <w:numPr>
          <w:numId w:val="14"/>
        </w:numPr>
        <w:spacing w:line="270" w:lineRule="auto" w:after="0" w:before="0"/>
        <w:ind w:right="0" w:left="0"/>
      </w:pPr>
      <w:r>
        <w:rPr>
          <w:rFonts w:ascii="Arial" w:hAnsi="Arial" w:cs="Arial" w:eastAsia="Arial"/>
          <w:sz w:val="54"/>
        </w:rPr>
        <w:t>Business partner due diligence</w:t>
      </w:r>
    </w:p>
    <w:p>
      <w:pPr>
        <w:numPr>
          <w:numId w:val="14"/>
        </w:numPr>
        <w:spacing w:line="270" w:lineRule="auto" w:after="0" w:before="0"/>
        <w:ind w:right="0" w:left="0"/>
      </w:pPr>
      <w:r>
        <w:rPr>
          <w:rFonts w:ascii="Arial" w:hAnsi="Arial" w:cs="Arial" w:eastAsia="Arial"/>
          <w:sz w:val="54"/>
        </w:rPr>
        <w:t>Supplier and contractor due diligence</w:t>
      </w:r>
    </w:p>
    <w:p>
      <w:pPr>
        <w:numPr>
          <w:numId w:val="14"/>
        </w:numPr>
        <w:spacing w:line="270" w:lineRule="auto" w:after="0" w:before="0"/>
        <w:ind w:right="0" w:left="0"/>
      </w:pPr>
      <w:r>
        <w:rPr>
          <w:rFonts w:ascii="Arial" w:hAnsi="Arial" w:cs="Arial" w:eastAsia="Arial"/>
          <w:sz w:val="54"/>
        </w:rPr>
        <w:t>Employee and executive background checks</w:t>
      </w:r>
    </w:p>
    <w:p>
      <w:pPr>
        <w:numPr>
          <w:numId w:val="14"/>
        </w:numPr>
        <w:spacing w:line="270" w:lineRule="auto" w:after="0" w:before="0"/>
        <w:ind w:right="0" w:left="0"/>
      </w:pPr>
      <w:r>
        <w:rPr>
          <w:rFonts w:ascii="Arial" w:hAnsi="Arial" w:cs="Arial" w:eastAsia="Arial"/>
          <w:sz w:val="54"/>
        </w:rPr>
        <w:t>Third-party risk assessment</w:t>
      </w:r>
    </w:p>
    <w:p>
      <w:pPr>
        <w:numPr>
          <w:numId w:val="14"/>
        </w:numPr>
        <w:spacing w:line="270" w:lineRule="auto" w:after="0" w:before="0"/>
        <w:ind w:right="0" w:left="0"/>
      </w:pPr>
      <w:r>
        <w:rPr>
          <w:rFonts w:ascii="Arial" w:hAnsi="Arial" w:cs="Arial" w:eastAsia="Arial"/>
          <w:sz w:val="54"/>
        </w:rPr>
        <w:t>Reputation and integrity checks</w:t>
      </w:r>
    </w:p>
    <w:p>
      <w:pPr>
        <w:numPr>
          <w:numId w:val="14"/>
        </w:numPr>
        <w:spacing w:line="270" w:lineRule="auto" w:after="0" w:before="0"/>
        <w:ind w:right="0" w:left="0"/>
      </w:pPr>
      <w:r>
        <w:rPr>
          <w:rFonts w:ascii="Arial" w:hAnsi="Arial" w:cs="Arial" w:eastAsia="Arial"/>
          <w:sz w:val="54"/>
        </w:rPr>
        <w:t>Pre-transaction information gathering</w:t>
      </w:r>
    </w:p>
    <w:p>
      <w:pPr>
        <w:numPr>
          <w:numId w:val="14"/>
        </w:numPr>
        <w:spacing w:line="270" w:lineRule="auto" w:after="0" w:before="0"/>
        <w:ind w:right="0" w:left="0"/>
      </w:pPr>
      <w:r>
        <w:rPr>
          <w:rFonts w:ascii="Arial" w:hAnsi="Arial" w:cs="Arial" w:eastAsia="Arial"/>
          <w:sz w:val="54"/>
        </w:rPr>
        <w:t>Organisational risk assessment</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68"/>
        </w:rPr>
        <w:t>4. ASSET TRACING</w:t>
      </w:r>
    </w:p>
    <w:p>
      <w:pPr>
        <w:spacing w:line="270" w:lineRule="auto" w:after="0" w:before="0"/>
        <w:ind w:right="0" w:left="0"/>
      </w:pPr>
      <w:r>
        <w:rPr>
          <w:rFonts w:ascii="Arial" w:hAnsi="Arial" w:cs="Arial" w:eastAsia="Arial"/>
          <w:sz w:val="54"/>
        </w:rPr>
        <w:t>Gyanbg Corporate Consult provides professional asset-tracing support for legitimate corporate, legal and recovery purposes.</w:t>
      </w:r>
    </w:p>
    <w:p>
      <w:pPr>
        <w:spacing w:line="270" w:lineRule="auto" w:after="0" w:before="0"/>
        <w:ind w:right="0" w:left="0"/>
      </w:pPr>
      <w:r>
        <w:rPr>
          <w:rFonts w:ascii="Arial" w:hAnsi="Arial" w:cs="Arial" w:eastAsia="Arial"/>
          <w:sz w:val="54"/>
        </w:rPr>
        <w:t>Assignments may involve identifying information concerning:</w:t>
      </w:r>
    </w:p>
    <w:p>
      <w:pPr>
        <w:numPr>
          <w:numId w:val="14"/>
        </w:numPr>
        <w:spacing w:line="270" w:lineRule="auto" w:after="0" w:before="0"/>
        <w:ind w:right="0" w:left="0"/>
      </w:pPr>
      <w:r>
        <w:rPr>
          <w:rFonts w:ascii="Arial" w:hAnsi="Arial" w:cs="Arial" w:eastAsia="Arial"/>
          <w:sz w:val="54"/>
        </w:rPr>
        <w:t>Movable assets</w:t>
      </w:r>
    </w:p>
    <w:p>
      <w:pPr>
        <w:numPr>
          <w:numId w:val="14"/>
        </w:numPr>
        <w:spacing w:line="270" w:lineRule="auto" w:after="0" w:before="0"/>
        <w:ind w:right="0" w:left="0"/>
      </w:pPr>
      <w:r>
        <w:rPr>
          <w:rFonts w:ascii="Arial" w:hAnsi="Arial" w:cs="Arial" w:eastAsia="Arial"/>
          <w:sz w:val="54"/>
        </w:rPr>
        <w:t>Immovable properties</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0788622066.png"/>
            <wp:cNvGraphicFramePr/>
            <a:graphic xmlns:a="http://schemas.openxmlformats.org/drawingml/2006/main">
              <a:graphicData uri="http://schemas.openxmlformats.org/drawingml/2006/picture">
                <pic:pic xmlns:pic="http://schemas.openxmlformats.org/drawingml/2006/picture">
                  <pic:nvPicPr>
                    <pic:cNvPr id="12" name="Picture 12" descr="image1790788622066.png"/>
                    <pic:cNvPicPr>
                      <a:picLocks noChangeAspect="true"/>
                    </pic:cNvPicPr>
                  </pic:nvPicPr>
                  <pic:blipFill>
                    <a:blip r:embed="rId12"/>
                    <a:stretch>
                      <a:fillRect/>
                    </a:stretch>
                  </pic:blipFill>
                  <pic:spPr>
                    <a:xfrm>
                      <a:off x="0" y="0"/>
                      <a:ext cx="16802100" cy="23749000"/>
                    </a:xfrm>
                    <a:prstGeom prst="rect">
                      <a:avLst/>
                    </a:prstGeom>
                  </pic:spPr>
                </pic:pic>
              </a:graphicData>
            </a:graphic>
          </wp:anchor>
        </w:drawing>
      </w:r>
    </w:p>
    <w:p>
      <w:pPr>
        <w:numPr>
          <w:numId w:val="14"/>
        </w:numPr>
        <w:spacing w:line="270" w:lineRule="auto" w:after="0" w:before="0"/>
        <w:ind w:right="0" w:left="0"/>
      </w:pPr>
      <w:r>
        <w:rPr>
          <w:rFonts w:ascii="Arial" w:hAnsi="Arial" w:cs="Arial" w:eastAsia="Arial"/>
          <w:sz w:val="54"/>
        </w:rPr>
        <w:t>Business interests</w:t>
      </w:r>
    </w:p>
    <w:p>
      <w:pPr>
        <w:numPr>
          <w:numId w:val="14"/>
        </w:numPr>
        <w:spacing w:line="270" w:lineRule="auto" w:after="0" w:before="0"/>
        <w:ind w:right="0" w:left="0"/>
      </w:pPr>
      <w:r>
        <w:rPr>
          <w:rFonts w:ascii="Arial" w:hAnsi="Arial" w:cs="Arial" w:eastAsia="Arial"/>
          <w:sz w:val="54"/>
        </w:rPr>
        <w:t>Corporate ownership information</w:t>
      </w:r>
    </w:p>
    <w:p>
      <w:pPr>
        <w:numPr>
          <w:numId w:val="14"/>
        </w:numPr>
        <w:spacing w:line="270" w:lineRule="auto" w:after="0" w:before="0"/>
        <w:ind w:right="0" w:left="0"/>
      </w:pPr>
      <w:r>
        <w:rPr>
          <w:rFonts w:ascii="Arial" w:hAnsi="Arial" w:cs="Arial" w:eastAsia="Arial"/>
          <w:sz w:val="54"/>
        </w:rPr>
        <w:t>Other identifiable assets relevant to a lawful recovery process</w:t>
      </w:r>
    </w:p>
    <w:p>
      <w:pPr>
        <w:spacing w:line="270" w:lineRule="auto" w:after="0" w:before="0"/>
        <w:ind w:right="0" w:left="0"/>
      </w:pPr>
      <w:r>
        <w:rPr>
          <w:rFonts w:ascii="Arial" w:hAnsi="Arial" w:cs="Arial" w:eastAsia="Arial"/>
          <w:sz w:val="54"/>
        </w:rPr>
        <w:t>Asset-tracing assignments are conducted subject to applicable laws, client authority and relevant professional requirements.</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68"/>
        </w:rPr>
        <w:t>5. DEBT RECOVERY SUPPORT</w:t>
      </w:r>
    </w:p>
    <w:p>
      <w:pPr>
        <w:spacing w:line="270" w:lineRule="auto" w:after="0" w:before="0"/>
        <w:ind w:right="0" w:left="0"/>
      </w:pPr>
      <w:r>
        <w:rPr>
          <w:rFonts w:ascii="Arial" w:hAnsi="Arial" w:cs="Arial" w:eastAsia="Arial"/>
          <w:sz w:val="54"/>
        </w:rPr>
        <w:t>We assist businesses and organisations experiencing challenges in recovering legitimate debts.</w:t>
      </w:r>
    </w:p>
    <w:p>
      <w:pPr>
        <w:spacing w:line="270" w:lineRule="auto" w:after="0" w:before="0"/>
        <w:ind w:right="0" w:left="0"/>
      </w:pPr>
      <w:r>
        <w:rPr>
          <w:rFonts w:ascii="Arial" w:hAnsi="Arial" w:cs="Arial" w:eastAsia="Arial"/>
          <w:sz w:val="54"/>
        </w:rPr>
        <w:t>Our approach may include:</w:t>
      </w:r>
    </w:p>
    <w:p>
      <w:pPr>
        <w:numPr>
          <w:numId w:val="14"/>
        </w:numPr>
        <w:spacing w:line="270" w:lineRule="auto" w:after="0" w:before="0"/>
        <w:ind w:right="0" w:left="0"/>
      </w:pPr>
      <w:r>
        <w:rPr>
          <w:rFonts w:ascii="Arial" w:hAnsi="Arial" w:cs="Arial" w:eastAsia="Arial"/>
          <w:sz w:val="54"/>
        </w:rPr>
        <w:t>Review of debt documentation</w:t>
      </w:r>
    </w:p>
    <w:p>
      <w:pPr>
        <w:numPr>
          <w:numId w:val="14"/>
        </w:numPr>
        <w:spacing w:line="270" w:lineRule="auto" w:after="0" w:before="0"/>
        <w:ind w:right="0" w:left="0"/>
      </w:pPr>
      <w:r>
        <w:rPr>
          <w:rFonts w:ascii="Arial" w:hAnsi="Arial" w:cs="Arial" w:eastAsia="Arial"/>
          <w:sz w:val="54"/>
        </w:rPr>
        <w:t>Debtor information assessment</w:t>
      </w:r>
    </w:p>
    <w:p>
      <w:pPr>
        <w:numPr>
          <w:numId w:val="14"/>
        </w:numPr>
        <w:spacing w:line="270" w:lineRule="auto" w:after="0" w:before="0"/>
        <w:ind w:right="0" w:left="0"/>
      </w:pPr>
      <w:r>
        <w:rPr>
          <w:rFonts w:ascii="Arial" w:hAnsi="Arial" w:cs="Arial" w:eastAsia="Arial"/>
          <w:sz w:val="54"/>
        </w:rPr>
        <w:t>Engagement and negotiation</w:t>
      </w:r>
    </w:p>
    <w:p>
      <w:pPr>
        <w:numPr>
          <w:numId w:val="14"/>
        </w:numPr>
        <w:spacing w:line="270" w:lineRule="auto" w:after="0" w:before="0"/>
        <w:ind w:right="0" w:left="0"/>
      </w:pPr>
      <w:r>
        <w:rPr>
          <w:rFonts w:ascii="Arial" w:hAnsi="Arial" w:cs="Arial" w:eastAsia="Arial"/>
          <w:sz w:val="54"/>
        </w:rPr>
        <w:t>Recovery strategy development</w:t>
      </w:r>
    </w:p>
    <w:p>
      <w:pPr>
        <w:numPr>
          <w:numId w:val="14"/>
        </w:numPr>
        <w:spacing w:line="270" w:lineRule="auto" w:after="0" w:before="0"/>
        <w:ind w:right="0" w:left="0"/>
      </w:pPr>
      <w:r>
        <w:rPr>
          <w:rFonts w:ascii="Arial" w:hAnsi="Arial" w:cs="Arial" w:eastAsia="Arial"/>
          <w:sz w:val="54"/>
        </w:rPr>
        <w:t>Mediation and settlement support</w:t>
      </w:r>
    </w:p>
    <w:p>
      <w:pPr>
        <w:numPr>
          <w:numId w:val="14"/>
        </w:numPr>
        <w:spacing w:line="270" w:lineRule="auto" w:after="0" w:before="0"/>
        <w:ind w:right="0" w:left="0"/>
      </w:pPr>
      <w:r>
        <w:rPr>
          <w:rFonts w:ascii="Arial" w:hAnsi="Arial" w:cs="Arial" w:eastAsia="Arial"/>
          <w:sz w:val="54"/>
        </w:rPr>
        <w:t xml:space="preserve">Referral for appropriate legal action where </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0788622074.png"/>
            <wp:cNvGraphicFramePr/>
            <a:graphic xmlns:a="http://schemas.openxmlformats.org/drawingml/2006/main">
              <a:graphicData uri="http://schemas.openxmlformats.org/drawingml/2006/picture">
                <pic:pic xmlns:pic="http://schemas.openxmlformats.org/drawingml/2006/picture">
                  <pic:nvPicPr>
                    <pic:cNvPr id="13" name="Picture 13" descr="image1790788622074.png"/>
                    <pic:cNvPicPr>
                      <a:picLocks noChangeAspect="true"/>
                    </pic:cNvPicPr>
                  </pic:nvPicPr>
                  <pic:blipFill>
                    <a:blip r:embed="rId13"/>
                    <a:stretch>
                      <a:fillRect/>
                    </a:stretch>
                  </pic:blipFill>
                  <pic:spPr>
                    <a:xfrm>
                      <a:off x="0" y="0"/>
                      <a:ext cx="16802100" cy="23749000"/>
                    </a:xfrm>
                    <a:prstGeom prst="rect">
                      <a:avLst/>
                    </a:prstGeom>
                  </pic:spPr>
                </pic:pic>
              </a:graphicData>
            </a:graphic>
          </wp:anchor>
        </w:drawing>
      </w:r>
    </w:p>
    <w:p>
      <w:pPr>
        <w:numPr>
          <w:numId w:val="14"/>
        </w:numPr>
        <w:spacing w:line="270" w:lineRule="auto" w:after="0" w:before="0"/>
        <w:ind w:right="0" w:left="0"/>
      </w:pPr>
      <w:r>
        <w:rPr>
          <w:rFonts w:ascii="Arial" w:hAnsi="Arial" w:cs="Arial" w:eastAsia="Arial"/>
          <w:sz w:val="54"/>
        </w:rPr>
        <w:t>necessary</w:t>
      </w:r>
    </w:p>
    <w:p>
      <w:pPr>
        <w:spacing w:line="270" w:lineRule="auto" w:after="0" w:before="0"/>
        <w:ind w:right="0" w:left="0"/>
      </w:pPr>
      <w:r>
        <w:rPr>
          <w:rFonts w:ascii="Arial" w:hAnsi="Arial" w:cs="Arial" w:eastAsia="Arial"/>
          <w:sz w:val="54"/>
        </w:rPr>
        <w:t>Our objective is to support lawful, professional and commercially sensible recovery processes.</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68"/>
        </w:rPr>
        <w:t>6. ALTERNATIVE DISPUTE RESOLUTION (ADR)</w:t>
      </w:r>
    </w:p>
    <w:p>
      <w:pPr>
        <w:spacing w:line="270" w:lineRule="auto" w:after="0" w:before="0"/>
        <w:ind w:right="0" w:left="0"/>
      </w:pPr>
      <w:r>
        <w:rPr>
          <w:rFonts w:ascii="Arial" w:hAnsi="Arial" w:cs="Arial" w:eastAsia="Arial"/>
          <w:sz w:val="54"/>
        </w:rPr>
        <w:t>Not every dispute needs to proceed through lengthy litigation.</w:t>
      </w:r>
    </w:p>
    <w:p>
      <w:pPr>
        <w:spacing w:line="270" w:lineRule="auto" w:after="0" w:before="0"/>
        <w:ind w:right="0" w:left="0"/>
      </w:pPr>
      <w:r>
        <w:rPr>
          <w:rFonts w:ascii="Arial" w:hAnsi="Arial" w:cs="Arial" w:eastAsia="Arial"/>
          <w:sz w:val="54"/>
        </w:rPr>
        <w:t>Gyanbg Corporate Consult provides ADR-related support designed to help parties explore constructive ways of resolving disputes.</w:t>
      </w:r>
    </w:p>
    <w:p>
      <w:pPr>
        <w:spacing w:line="270" w:lineRule="auto" w:after="0" w:before="0"/>
        <w:ind w:right="0" w:left="0"/>
      </w:pPr>
      <w:r>
        <w:rPr>
          <w:rFonts w:ascii="Arial" w:hAnsi="Arial" w:cs="Arial" w:eastAsia="Arial"/>
          <w:sz w:val="54"/>
        </w:rPr>
        <w:t>Our services may include:</w:t>
      </w:r>
    </w:p>
    <w:p>
      <w:pPr>
        <w:numPr>
          <w:numId w:val="14"/>
        </w:numPr>
        <w:spacing w:line="270" w:lineRule="auto" w:after="0" w:before="0"/>
        <w:ind w:right="0" w:left="0"/>
      </w:pPr>
      <w:r>
        <w:rPr>
          <w:rFonts w:ascii="Arial" w:hAnsi="Arial" w:cs="Arial" w:eastAsia="Arial"/>
          <w:sz w:val="54"/>
        </w:rPr>
        <w:t>Mediation support</w:t>
      </w:r>
    </w:p>
    <w:p>
      <w:pPr>
        <w:numPr>
          <w:numId w:val="14"/>
        </w:numPr>
        <w:spacing w:line="270" w:lineRule="auto" w:after="0" w:before="0"/>
        <w:ind w:right="0" w:left="0"/>
      </w:pPr>
      <w:r>
        <w:rPr>
          <w:rFonts w:ascii="Arial" w:hAnsi="Arial" w:cs="Arial" w:eastAsia="Arial"/>
          <w:sz w:val="54"/>
        </w:rPr>
        <w:t>Negotiation</w:t>
      </w:r>
    </w:p>
    <w:p>
      <w:pPr>
        <w:numPr>
          <w:numId w:val="14"/>
        </w:numPr>
        <w:spacing w:line="270" w:lineRule="auto" w:after="0" w:before="0"/>
        <w:ind w:right="0" w:left="0"/>
      </w:pPr>
      <w:r>
        <w:rPr>
          <w:rFonts w:ascii="Arial" w:hAnsi="Arial" w:cs="Arial" w:eastAsia="Arial"/>
          <w:sz w:val="54"/>
        </w:rPr>
        <w:t>Conciliation</w:t>
      </w:r>
    </w:p>
    <w:p>
      <w:pPr>
        <w:numPr>
          <w:numId w:val="14"/>
        </w:numPr>
        <w:spacing w:line="270" w:lineRule="auto" w:after="0" w:before="0"/>
        <w:ind w:right="0" w:left="0"/>
      </w:pPr>
      <w:r>
        <w:rPr>
          <w:rFonts w:ascii="Arial" w:hAnsi="Arial" w:cs="Arial" w:eastAsia="Arial"/>
          <w:sz w:val="54"/>
        </w:rPr>
        <w:t>Commercial dispute-resolution support</w:t>
      </w:r>
    </w:p>
    <w:p>
      <w:pPr>
        <w:numPr>
          <w:numId w:val="14"/>
        </w:numPr>
        <w:spacing w:line="270" w:lineRule="auto" w:after="0" w:before="0"/>
        <w:ind w:right="0" w:left="0"/>
      </w:pPr>
      <w:r>
        <w:rPr>
          <w:rFonts w:ascii="Arial" w:hAnsi="Arial" w:cs="Arial" w:eastAsia="Arial"/>
          <w:sz w:val="54"/>
        </w:rPr>
        <w:t>Workplace dispute resolution</w:t>
      </w:r>
    </w:p>
    <w:p>
      <w:pPr>
        <w:numPr>
          <w:numId w:val="14"/>
        </w:numPr>
        <w:spacing w:line="270" w:lineRule="auto" w:after="0" w:before="0"/>
        <w:ind w:right="0" w:left="0"/>
      </w:pPr>
      <w:r>
        <w:rPr>
          <w:rFonts w:ascii="Arial" w:hAnsi="Arial" w:cs="Arial" w:eastAsia="Arial"/>
          <w:sz w:val="54"/>
        </w:rPr>
        <w:t>Community and institutional dispute-resolution support</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0788622080.png"/>
            <wp:cNvGraphicFramePr/>
            <a:graphic xmlns:a="http://schemas.openxmlformats.org/drawingml/2006/main">
              <a:graphicData uri="http://schemas.openxmlformats.org/drawingml/2006/picture">
                <pic:pic xmlns:pic="http://schemas.openxmlformats.org/drawingml/2006/picture">
                  <pic:nvPicPr>
                    <pic:cNvPr id="14" name="Picture 14" descr="image1790788622080.png"/>
                    <pic:cNvPicPr>
                      <a:picLocks noChangeAspect="true"/>
                    </pic:cNvPicPr>
                  </pic:nvPicPr>
                  <pic:blipFill>
                    <a:blip r:embed="rId14"/>
                    <a:stretch>
                      <a:fillRect/>
                    </a:stretch>
                  </pic:blipFill>
                  <pic:spPr>
                    <a:xfrm>
                      <a:off x="0" y="0"/>
                      <a:ext cx="16802100" cy="23749000"/>
                    </a:xfrm>
                    <a:prstGeom prst="rect">
                      <a:avLst/>
                    </a:prstGeom>
                  </pic:spPr>
                </pic:pic>
              </a:graphicData>
            </a:graphic>
          </wp:anchor>
        </w:drawing>
      </w:r>
    </w:p>
    <w:p>
      <w:pPr>
        <w:numPr>
          <w:numId w:val="14"/>
        </w:numPr>
        <w:spacing w:line="270" w:lineRule="auto" w:after="0" w:before="0"/>
        <w:ind w:right="0" w:left="0"/>
      </w:pPr>
      <w:r>
        <w:rPr>
          <w:rFonts w:ascii="Arial" w:hAnsi="Arial" w:cs="Arial" w:eastAsia="Arial"/>
          <w:sz w:val="54"/>
        </w:rPr>
        <w:t>Settlement facilitation</w:t>
      </w:r>
    </w:p>
    <w:p>
      <w:pPr>
        <w:spacing w:line="270" w:lineRule="auto" w:after="0" w:before="0"/>
        <w:ind w:right="0" w:left="0"/>
      </w:pPr>
      <w:r>
        <w:rPr>
          <w:rFonts w:ascii="Arial" w:hAnsi="Arial" w:cs="Arial" w:eastAsia="Arial"/>
          <w:sz w:val="54"/>
        </w:rPr>
        <w:t>Where formal legal representation or regulated professional services are required, matters may be referred to appropriately qualified professionals.</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68"/>
        </w:rPr>
        <w:t>7. WORKSHOPS, CONFERENCES AND TRAINING</w:t>
      </w:r>
    </w:p>
    <w:p>
      <w:pPr>
        <w:spacing w:line="270" w:lineRule="auto" w:after="0" w:before="0"/>
        <w:ind w:right="0" w:left="0"/>
      </w:pPr>
      <w:r>
        <w:rPr>
          <w:rFonts w:ascii="Arial" w:hAnsi="Arial" w:cs="Arial" w:eastAsia="Arial"/>
          <w:sz w:val="54"/>
        </w:rPr>
        <w:t>We design and deliver customised workshops, seminars, conferences and capacity-building programmes for organisations.</w:t>
      </w:r>
    </w:p>
    <w:p>
      <w:pPr>
        <w:spacing w:line="270" w:lineRule="auto" w:after="0" w:before="0"/>
        <w:ind w:right="0" w:left="0"/>
      </w:pPr>
      <w:r>
        <w:rPr>
          <w:rFonts w:ascii="Arial" w:hAnsi="Arial" w:cs="Arial" w:eastAsia="Arial"/>
          <w:sz w:val="54"/>
        </w:rPr>
        <w:t>Possible training areas include:</w:t>
      </w:r>
    </w:p>
    <w:p>
      <w:pPr>
        <w:numPr>
          <w:numId w:val="14"/>
        </w:numPr>
        <w:spacing w:line="270" w:lineRule="auto" w:after="0" w:before="0"/>
        <w:ind w:right="0" w:left="0"/>
      </w:pPr>
      <w:r>
        <w:rPr>
          <w:rFonts w:ascii="Arial" w:hAnsi="Arial" w:cs="Arial" w:eastAsia="Arial"/>
          <w:sz w:val="54"/>
        </w:rPr>
        <w:t>Security management</w:t>
      </w:r>
    </w:p>
    <w:p>
      <w:pPr>
        <w:numPr>
          <w:numId w:val="14"/>
        </w:numPr>
        <w:spacing w:line="270" w:lineRule="auto" w:after="0" w:before="0"/>
        <w:ind w:right="0" w:left="0"/>
      </w:pPr>
      <w:r>
        <w:rPr>
          <w:rFonts w:ascii="Arial" w:hAnsi="Arial" w:cs="Arial" w:eastAsia="Arial"/>
          <w:sz w:val="54"/>
        </w:rPr>
        <w:t>Corporate crime prevention</w:t>
      </w:r>
    </w:p>
    <w:p>
      <w:pPr>
        <w:numPr>
          <w:numId w:val="14"/>
        </w:numPr>
        <w:spacing w:line="270" w:lineRule="auto" w:after="0" w:before="0"/>
        <w:ind w:right="0" w:left="0"/>
      </w:pPr>
      <w:r>
        <w:rPr>
          <w:rFonts w:ascii="Arial" w:hAnsi="Arial" w:cs="Arial" w:eastAsia="Arial"/>
          <w:sz w:val="54"/>
        </w:rPr>
        <w:t>Fraud awareness</w:t>
      </w:r>
    </w:p>
    <w:p>
      <w:pPr>
        <w:numPr>
          <w:numId w:val="14"/>
        </w:numPr>
        <w:spacing w:line="270" w:lineRule="auto" w:after="0" w:before="0"/>
        <w:ind w:right="0" w:left="0"/>
      </w:pPr>
      <w:r>
        <w:rPr>
          <w:rFonts w:ascii="Arial" w:hAnsi="Arial" w:cs="Arial" w:eastAsia="Arial"/>
          <w:sz w:val="54"/>
        </w:rPr>
        <w:t>Financial crime risks</w:t>
      </w:r>
    </w:p>
    <w:p>
      <w:pPr>
        <w:numPr>
          <w:numId w:val="14"/>
        </w:numPr>
        <w:spacing w:line="270" w:lineRule="auto" w:after="0" w:before="0"/>
        <w:ind w:right="0" w:left="0"/>
      </w:pPr>
      <w:r>
        <w:rPr>
          <w:rFonts w:ascii="Arial" w:hAnsi="Arial" w:cs="Arial" w:eastAsia="Arial"/>
          <w:sz w:val="54"/>
        </w:rPr>
        <w:t>Corporate investigations</w:t>
      </w:r>
    </w:p>
    <w:p>
      <w:pPr>
        <w:numPr>
          <w:numId w:val="14"/>
        </w:numPr>
        <w:spacing w:line="270" w:lineRule="auto" w:after="0" w:before="0"/>
        <w:ind w:right="0" w:left="0"/>
      </w:pPr>
      <w:r>
        <w:rPr>
          <w:rFonts w:ascii="Arial" w:hAnsi="Arial" w:cs="Arial" w:eastAsia="Arial"/>
          <w:sz w:val="54"/>
        </w:rPr>
        <w:t>Due diligence</w:t>
      </w:r>
    </w:p>
    <w:p>
      <w:pPr>
        <w:numPr>
          <w:numId w:val="14"/>
        </w:numPr>
        <w:spacing w:line="270" w:lineRule="auto" w:after="0" w:before="0"/>
        <w:ind w:right="0" w:left="0"/>
      </w:pPr>
      <w:r>
        <w:rPr>
          <w:rFonts w:ascii="Arial" w:hAnsi="Arial" w:cs="Arial" w:eastAsia="Arial"/>
          <w:sz w:val="54"/>
        </w:rPr>
        <w:t>Risk management</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0788622087.png"/>
            <wp:cNvGraphicFramePr/>
            <a:graphic xmlns:a="http://schemas.openxmlformats.org/drawingml/2006/main">
              <a:graphicData uri="http://schemas.openxmlformats.org/drawingml/2006/picture">
                <pic:pic xmlns:pic="http://schemas.openxmlformats.org/drawingml/2006/picture">
                  <pic:nvPicPr>
                    <pic:cNvPr id="15" name="Picture 15" descr="image1790788622087.png"/>
                    <pic:cNvPicPr>
                      <a:picLocks noChangeAspect="true"/>
                    </pic:cNvPicPr>
                  </pic:nvPicPr>
                  <pic:blipFill>
                    <a:blip r:embed="rId15"/>
                    <a:stretch>
                      <a:fillRect/>
                    </a:stretch>
                  </pic:blipFill>
                  <pic:spPr>
                    <a:xfrm>
                      <a:off x="0" y="0"/>
                      <a:ext cx="16802100" cy="23749000"/>
                    </a:xfrm>
                    <a:prstGeom prst="rect">
                      <a:avLst/>
                    </a:prstGeom>
                  </pic:spPr>
                </pic:pic>
              </a:graphicData>
            </a:graphic>
          </wp:anchor>
        </w:drawing>
      </w:r>
    </w:p>
    <w:p>
      <w:pPr>
        <w:numPr>
          <w:numId w:val="14"/>
        </w:numPr>
        <w:spacing w:line="270" w:lineRule="auto" w:after="0" w:before="0"/>
        <w:ind w:right="0" w:left="0"/>
      </w:pPr>
      <w:r>
        <w:rPr>
          <w:rFonts w:ascii="Arial" w:hAnsi="Arial" w:cs="Arial" w:eastAsia="Arial"/>
          <w:sz w:val="54"/>
        </w:rPr>
        <w:t>Workplace ethics</w:t>
      </w:r>
    </w:p>
    <w:p>
      <w:pPr>
        <w:numPr>
          <w:numId w:val="14"/>
        </w:numPr>
        <w:spacing w:line="270" w:lineRule="auto" w:after="0" w:before="0"/>
        <w:ind w:right="0" w:left="0"/>
      </w:pPr>
      <w:r>
        <w:rPr>
          <w:rFonts w:ascii="Arial" w:hAnsi="Arial" w:cs="Arial" w:eastAsia="Arial"/>
          <w:sz w:val="54"/>
        </w:rPr>
        <w:t>Internal controls</w:t>
      </w:r>
    </w:p>
    <w:p>
      <w:pPr>
        <w:numPr>
          <w:numId w:val="14"/>
        </w:numPr>
        <w:spacing w:line="270" w:lineRule="auto" w:after="0" w:before="0"/>
        <w:ind w:right="0" w:left="0"/>
      </w:pPr>
      <w:r>
        <w:rPr>
          <w:rFonts w:ascii="Arial" w:hAnsi="Arial" w:cs="Arial" w:eastAsia="Arial"/>
          <w:sz w:val="54"/>
        </w:rPr>
        <w:t>Asset protection</w:t>
      </w:r>
    </w:p>
    <w:p>
      <w:pPr>
        <w:numPr>
          <w:numId w:val="14"/>
        </w:numPr>
        <w:spacing w:line="270" w:lineRule="auto" w:after="0" w:before="0"/>
        <w:ind w:right="0" w:left="0"/>
      </w:pPr>
      <w:r>
        <w:rPr>
          <w:rFonts w:ascii="Arial" w:hAnsi="Arial" w:cs="Arial" w:eastAsia="Arial"/>
          <w:sz w:val="54"/>
        </w:rPr>
        <w:t>Loss prevention</w:t>
      </w:r>
    </w:p>
    <w:p>
      <w:pPr>
        <w:numPr>
          <w:numId w:val="14"/>
        </w:numPr>
        <w:spacing w:line="270" w:lineRule="auto" w:after="0" w:before="0"/>
        <w:ind w:right="0" w:left="0"/>
      </w:pPr>
      <w:r>
        <w:rPr>
          <w:rFonts w:ascii="Arial" w:hAnsi="Arial" w:cs="Arial" w:eastAsia="Arial"/>
          <w:sz w:val="54"/>
        </w:rPr>
        <w:t>Management of corporate security</w:t>
      </w:r>
    </w:p>
    <w:p>
      <w:pPr>
        <w:numPr>
          <w:numId w:val="14"/>
        </w:numPr>
        <w:spacing w:line="270" w:lineRule="auto" w:after="0" w:before="0"/>
        <w:ind w:right="0" w:left="0"/>
      </w:pPr>
      <w:r>
        <w:rPr>
          <w:rFonts w:ascii="Arial" w:hAnsi="Arial" w:cs="Arial" w:eastAsia="Arial"/>
          <w:sz w:val="54"/>
        </w:rPr>
        <w:t>Investigative interviewing</w:t>
      </w:r>
    </w:p>
    <w:p>
      <w:pPr>
        <w:numPr>
          <w:numId w:val="14"/>
        </w:numPr>
        <w:spacing w:line="270" w:lineRule="auto" w:after="0" w:before="0"/>
        <w:ind w:right="0" w:left="0"/>
      </w:pPr>
      <w:r>
        <w:rPr>
          <w:rFonts w:ascii="Arial" w:hAnsi="Arial" w:cs="Arial" w:eastAsia="Arial"/>
          <w:sz w:val="54"/>
        </w:rPr>
        <w:t>Evidence preservation</w:t>
      </w:r>
    </w:p>
    <w:p>
      <w:pPr>
        <w:numPr>
          <w:numId w:val="14"/>
        </w:numPr>
        <w:spacing w:line="270" w:lineRule="auto" w:after="0" w:before="0"/>
        <w:ind w:right="0" w:left="0"/>
      </w:pPr>
      <w:r>
        <w:rPr>
          <w:rFonts w:ascii="Arial" w:hAnsi="Arial" w:cs="Arial" w:eastAsia="Arial"/>
          <w:sz w:val="54"/>
        </w:rPr>
        <w:t>Conflict management</w:t>
      </w:r>
    </w:p>
    <w:p>
      <w:pPr>
        <w:numPr>
          <w:numId w:val="14"/>
        </w:numPr>
        <w:spacing w:line="270" w:lineRule="auto" w:after="0" w:before="0"/>
        <w:ind w:right="0" w:left="0"/>
      </w:pPr>
      <w:r>
        <w:rPr>
          <w:rFonts w:ascii="Arial" w:hAnsi="Arial" w:cs="Arial" w:eastAsia="Arial"/>
          <w:sz w:val="54"/>
        </w:rPr>
        <w:t>Professional ethics and integrity</w:t>
      </w:r>
    </w:p>
    <w:p>
      <w:pPr>
        <w:spacing w:line="270" w:lineRule="auto" w:after="0" w:before="0"/>
        <w:ind w:right="0" w:left="0"/>
      </w:pPr>
      <w:r>
        <w:rPr>
          <w:rFonts w:ascii="Arial" w:hAnsi="Arial" w:cs="Arial" w:eastAsia="Arial"/>
          <w:sz w:val="54"/>
        </w:rPr>
        <w:t xml:space="preserve">Programmes can be designed as </w:t>
      </w:r>
      <w:r>
        <w:rPr>
          <w:rFonts w:ascii="Arial" w:hAnsi="Arial" w:cs="Arial" w:eastAsia="Arial"/>
          <w:b w:val="true"/>
          <w:sz w:val="54"/>
        </w:rPr>
        <w:t>one-day workshops, short courses, executive seminars, conferences or customised institutional training programmes.</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68"/>
        </w:rPr>
        <w:t>8. PROPOSAL AND CONCEPT DEVELOPMENT</w:t>
      </w:r>
    </w:p>
    <w:p>
      <w:pPr>
        <w:spacing w:line="270" w:lineRule="auto" w:after="0" w:before="0"/>
        <w:ind w:right="0" w:left="0"/>
      </w:pPr>
      <w:r>
        <w:rPr>
          <w:rFonts w:ascii="Arial" w:hAnsi="Arial" w:cs="Arial" w:eastAsia="Arial"/>
          <w:sz w:val="54"/>
        </w:rPr>
        <w:t xml:space="preserve">Gyanbg Corporate Consult assists organisations, NGOs, community-based organisations and other institutions to develop </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0788622094.png"/>
            <wp:cNvGraphicFramePr/>
            <a:graphic xmlns:a="http://schemas.openxmlformats.org/drawingml/2006/main">
              <a:graphicData uri="http://schemas.openxmlformats.org/drawingml/2006/picture">
                <pic:pic xmlns:pic="http://schemas.openxmlformats.org/drawingml/2006/picture">
                  <pic:nvPicPr>
                    <pic:cNvPr id="16" name="Picture 16" descr="image1790788622094.png"/>
                    <pic:cNvPicPr>
                      <a:picLocks noChangeAspect="true"/>
                    </pic:cNvPicPr>
                  </pic:nvPicPr>
                  <pic:blipFill>
                    <a:blip r:embed="rId16"/>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sz w:val="54"/>
        </w:rPr>
        <w:t>professional proposals and concept notes.</w:t>
      </w:r>
    </w:p>
    <w:p>
      <w:pPr>
        <w:spacing w:line="270" w:lineRule="auto" w:after="0" w:before="0"/>
        <w:ind w:right="0" w:left="0"/>
      </w:pPr>
      <w:r>
        <w:rPr>
          <w:rFonts w:ascii="Arial" w:hAnsi="Arial" w:cs="Arial" w:eastAsia="Arial"/>
          <w:sz w:val="54"/>
        </w:rPr>
        <w:t>Services include:</w:t>
      </w:r>
    </w:p>
    <w:p>
      <w:pPr>
        <w:numPr>
          <w:numId w:val="14"/>
        </w:numPr>
        <w:spacing w:line="270" w:lineRule="auto" w:after="0" w:before="0"/>
        <w:ind w:right="0" w:left="0"/>
      </w:pPr>
      <w:r>
        <w:rPr>
          <w:rFonts w:ascii="Arial" w:hAnsi="Arial" w:cs="Arial" w:eastAsia="Arial"/>
          <w:sz w:val="54"/>
        </w:rPr>
        <w:t>Project concept development</w:t>
      </w:r>
    </w:p>
    <w:p>
      <w:pPr>
        <w:numPr>
          <w:numId w:val="14"/>
        </w:numPr>
        <w:spacing w:line="270" w:lineRule="auto" w:after="0" w:before="0"/>
        <w:ind w:right="0" w:left="0"/>
      </w:pPr>
      <w:r>
        <w:rPr>
          <w:rFonts w:ascii="Arial" w:hAnsi="Arial" w:cs="Arial" w:eastAsia="Arial"/>
          <w:sz w:val="54"/>
        </w:rPr>
        <w:t>Funding proposals</w:t>
      </w:r>
    </w:p>
    <w:p>
      <w:pPr>
        <w:numPr>
          <w:numId w:val="14"/>
        </w:numPr>
        <w:spacing w:line="270" w:lineRule="auto" w:after="0" w:before="0"/>
        <w:ind w:right="0" w:left="0"/>
      </w:pPr>
      <w:r>
        <w:rPr>
          <w:rFonts w:ascii="Arial" w:hAnsi="Arial" w:cs="Arial" w:eastAsia="Arial"/>
          <w:sz w:val="54"/>
        </w:rPr>
        <w:t>Grant proposals</w:t>
      </w:r>
    </w:p>
    <w:p>
      <w:pPr>
        <w:numPr>
          <w:numId w:val="14"/>
        </w:numPr>
        <w:spacing w:line="270" w:lineRule="auto" w:after="0" w:before="0"/>
        <w:ind w:right="0" w:left="0"/>
      </w:pPr>
      <w:r>
        <w:rPr>
          <w:rFonts w:ascii="Arial" w:hAnsi="Arial" w:cs="Arial" w:eastAsia="Arial"/>
          <w:sz w:val="54"/>
        </w:rPr>
        <w:t>Corporate partnership proposals</w:t>
      </w:r>
    </w:p>
    <w:p>
      <w:pPr>
        <w:numPr>
          <w:numId w:val="14"/>
        </w:numPr>
        <w:spacing w:line="270" w:lineRule="auto" w:after="0" w:before="0"/>
        <w:ind w:right="0" w:left="0"/>
      </w:pPr>
      <w:r>
        <w:rPr>
          <w:rFonts w:ascii="Arial" w:hAnsi="Arial" w:cs="Arial" w:eastAsia="Arial"/>
          <w:sz w:val="54"/>
        </w:rPr>
        <w:t>CSR proposals</w:t>
      </w:r>
    </w:p>
    <w:p>
      <w:pPr>
        <w:numPr>
          <w:numId w:val="14"/>
        </w:numPr>
        <w:spacing w:line="270" w:lineRule="auto" w:after="0" w:before="0"/>
        <w:ind w:right="0" w:left="0"/>
      </w:pPr>
      <w:r>
        <w:rPr>
          <w:rFonts w:ascii="Arial" w:hAnsi="Arial" w:cs="Arial" w:eastAsia="Arial"/>
          <w:sz w:val="54"/>
        </w:rPr>
        <w:t>Project documentation</w:t>
      </w:r>
    </w:p>
    <w:p>
      <w:pPr>
        <w:numPr>
          <w:numId w:val="14"/>
        </w:numPr>
        <w:spacing w:line="270" w:lineRule="auto" w:after="0" w:before="0"/>
        <w:ind w:right="0" w:left="0"/>
      </w:pPr>
      <w:r>
        <w:rPr>
          <w:rFonts w:ascii="Arial" w:hAnsi="Arial" w:cs="Arial" w:eastAsia="Arial"/>
          <w:sz w:val="54"/>
        </w:rPr>
        <w:t>Institutional profiles</w:t>
      </w:r>
    </w:p>
    <w:p>
      <w:pPr>
        <w:numPr>
          <w:numId w:val="14"/>
        </w:numPr>
        <w:spacing w:line="270" w:lineRule="auto" w:after="0" w:before="0"/>
        <w:ind w:right="0" w:left="0"/>
      </w:pPr>
      <w:r>
        <w:rPr>
          <w:rFonts w:ascii="Arial" w:hAnsi="Arial" w:cs="Arial" w:eastAsia="Arial"/>
          <w:sz w:val="54"/>
        </w:rPr>
        <w:t>Strategic programme development</w:t>
      </w:r>
    </w:p>
    <w:p>
      <w:pPr>
        <w:numPr>
          <w:numId w:val="14"/>
        </w:numPr>
        <w:spacing w:line="270" w:lineRule="auto" w:after="0" w:before="0"/>
        <w:ind w:right="0" w:left="0"/>
      </w:pPr>
      <w:r>
        <w:rPr>
          <w:rFonts w:ascii="Arial" w:hAnsi="Arial" w:cs="Arial" w:eastAsia="Arial"/>
          <w:sz w:val="54"/>
        </w:rPr>
        <w:t>Monitoring and implementation framework</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75"/>
        </w:rPr>
        <w:t>OUR TARGET CLIENTS</w:t>
      </w:r>
    </w:p>
    <w:p>
      <w:pPr>
        <w:spacing w:line="270" w:lineRule="auto" w:after="0" w:before="0"/>
        <w:ind w:right="0" w:left="0"/>
      </w:pPr>
      <w:r>
        <w:rPr>
          <w:rFonts w:ascii="Arial" w:hAnsi="Arial" w:cs="Arial" w:eastAsia="Arial"/>
          <w:sz w:val="54"/>
        </w:rPr>
        <w:t>Gyanbg Corporate Consult provides services to a broad range of organisations, including:</w:t>
      </w:r>
    </w:p>
    <w:p>
      <w:pPr>
        <w:spacing w:line="270" w:lineRule="auto" w:after="0" w:before="0"/>
        <w:ind w:right="0" w:left="0"/>
      </w:pPr>
      <w:r>
        <w:rPr>
          <w:rFonts w:ascii="Arial" w:hAnsi="Arial" w:cs="Arial" w:eastAsia="Arial"/>
          <w:b w:val="true"/>
          <w:sz w:val="54"/>
        </w:rPr>
        <w:t>Hotels and Hospitality Businesses</w:t>
      </w:r>
    </w:p>
    <w:p>
      <w:pPr>
        <w:spacing w:line="270" w:lineRule="auto" w:after="0" w:before="0"/>
        <w:ind w:right="0" w:left="0"/>
      </w:pPr>
      <w:r>
        <w:rPr>
          <w:rFonts w:ascii="Arial" w:hAnsi="Arial" w:cs="Arial" w:eastAsia="Arial"/>
          <w:sz w:val="54"/>
        </w:rPr>
        <w:t>Security management, staff integrity, loss prevention, investigations and risk assessments.</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0788622102.png"/>
            <wp:cNvGraphicFramePr/>
            <a:graphic xmlns:a="http://schemas.openxmlformats.org/drawingml/2006/main">
              <a:graphicData uri="http://schemas.openxmlformats.org/drawingml/2006/picture">
                <pic:pic xmlns:pic="http://schemas.openxmlformats.org/drawingml/2006/picture">
                  <pic:nvPicPr>
                    <pic:cNvPr id="17" name="Picture 17" descr="image1790788622102.png"/>
                    <pic:cNvPicPr>
                      <a:picLocks noChangeAspect="true"/>
                    </pic:cNvPicPr>
                  </pic:nvPicPr>
                  <pic:blipFill>
                    <a:blip r:embed="rId17"/>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b w:val="true"/>
          <w:sz w:val="54"/>
        </w:rPr>
        <w:t>Schools and Educational Institutions</w:t>
      </w:r>
    </w:p>
    <w:p>
      <w:pPr>
        <w:spacing w:line="270" w:lineRule="auto" w:after="0" w:before="0"/>
        <w:ind w:right="0" w:left="0"/>
      </w:pPr>
      <w:r>
        <w:rPr>
          <w:rFonts w:ascii="Arial" w:hAnsi="Arial" w:cs="Arial" w:eastAsia="Arial"/>
          <w:sz w:val="54"/>
        </w:rPr>
        <w:t>Security assessments, staff training, safeguarding-related systems, integrity programmes and institutional risk management.</w:t>
      </w:r>
    </w:p>
    <w:p>
      <w:pPr>
        <w:spacing w:line="270" w:lineRule="auto" w:after="0" w:before="0"/>
        <w:ind w:right="0" w:left="0"/>
      </w:pPr>
      <w:r>
        <w:rPr>
          <w:rFonts w:ascii="Arial" w:hAnsi="Arial" w:cs="Arial" w:eastAsia="Arial"/>
          <w:b w:val="true"/>
          <w:sz w:val="54"/>
        </w:rPr>
        <w:t>Mining Companies</w:t>
      </w:r>
    </w:p>
    <w:p>
      <w:pPr>
        <w:spacing w:line="270" w:lineRule="auto" w:after="0" w:before="0"/>
        <w:ind w:right="0" w:left="0"/>
      </w:pPr>
      <w:r>
        <w:rPr>
          <w:rFonts w:ascii="Arial" w:hAnsi="Arial" w:cs="Arial" w:eastAsia="Arial"/>
          <w:sz w:val="54"/>
        </w:rPr>
        <w:t>Security risk management, asset protection, investigations, due diligence and corporate crime prevention.</w:t>
      </w:r>
    </w:p>
    <w:p>
      <w:pPr>
        <w:spacing w:line="270" w:lineRule="auto" w:after="0" w:before="0"/>
        <w:ind w:right="0" w:left="0"/>
      </w:pPr>
      <w:r>
        <w:rPr>
          <w:rFonts w:ascii="Arial" w:hAnsi="Arial" w:cs="Arial" w:eastAsia="Arial"/>
          <w:b w:val="true"/>
          <w:sz w:val="54"/>
        </w:rPr>
        <w:t>Banks and Financial Institutions</w:t>
      </w:r>
    </w:p>
    <w:p>
      <w:pPr>
        <w:spacing w:line="270" w:lineRule="auto" w:after="0" w:before="0"/>
        <w:ind w:right="0" w:left="0"/>
      </w:pPr>
      <w:r>
        <w:rPr>
          <w:rFonts w:ascii="Arial" w:hAnsi="Arial" w:cs="Arial" w:eastAsia="Arial"/>
          <w:sz w:val="54"/>
        </w:rPr>
        <w:t>Due diligence, fraud-risk awareness, investigations, security management and staff capacity development.</w:t>
      </w:r>
    </w:p>
    <w:p>
      <w:pPr>
        <w:spacing w:line="270" w:lineRule="auto" w:after="0" w:before="0"/>
        <w:ind w:right="0" w:left="0"/>
      </w:pPr>
      <w:r>
        <w:rPr>
          <w:rFonts w:ascii="Arial" w:hAnsi="Arial" w:cs="Arial" w:eastAsia="Arial"/>
          <w:b w:val="true"/>
          <w:sz w:val="54"/>
        </w:rPr>
        <w:t>Non-Governmental Organisations</w:t>
      </w:r>
    </w:p>
    <w:p>
      <w:pPr>
        <w:spacing w:line="270" w:lineRule="auto" w:after="0" w:before="0"/>
        <w:ind w:right="0" w:left="0"/>
      </w:pPr>
      <w:r>
        <w:rPr>
          <w:rFonts w:ascii="Arial" w:hAnsi="Arial" w:cs="Arial" w:eastAsia="Arial"/>
          <w:sz w:val="54"/>
        </w:rPr>
        <w:t>Due diligence, proposal development, fraud prevention, internal control awareness, investigations and institutional capacity building.</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0788622105.png"/>
            <wp:cNvGraphicFramePr/>
            <a:graphic xmlns:a="http://schemas.openxmlformats.org/drawingml/2006/main">
              <a:graphicData uri="http://schemas.openxmlformats.org/drawingml/2006/picture">
                <pic:pic xmlns:pic="http://schemas.openxmlformats.org/drawingml/2006/picture">
                  <pic:nvPicPr>
                    <pic:cNvPr id="18" name="Picture 18" descr="image1790788622105.png"/>
                    <pic:cNvPicPr>
                      <a:picLocks noChangeAspect="true"/>
                    </pic:cNvPicPr>
                  </pic:nvPicPr>
                  <pic:blipFill>
                    <a:blip r:embed="rId18"/>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b w:val="true"/>
          <w:sz w:val="54"/>
        </w:rPr>
        <w:t>Churches and Faith-Based Organisations</w:t>
      </w:r>
    </w:p>
    <w:p>
      <w:pPr>
        <w:spacing w:line="270" w:lineRule="auto" w:after="0" w:before="0"/>
        <w:ind w:right="0" w:left="0"/>
      </w:pPr>
      <w:r>
        <w:rPr>
          <w:rFonts w:ascii="Arial" w:hAnsi="Arial" w:cs="Arial" w:eastAsia="Arial"/>
          <w:sz w:val="54"/>
        </w:rPr>
        <w:t>Security management, financial integrity awareness, governance support, investigations and staff/leadership training.</w:t>
      </w:r>
    </w:p>
    <w:p>
      <w:pPr>
        <w:spacing w:line="270" w:lineRule="auto" w:after="0" w:before="0"/>
        <w:ind w:right="0" w:left="0"/>
      </w:pPr>
      <w:r>
        <w:rPr>
          <w:rFonts w:ascii="Arial" w:hAnsi="Arial" w:cs="Arial" w:eastAsia="Arial"/>
          <w:b w:val="true"/>
          <w:sz w:val="54"/>
        </w:rPr>
        <w:t>Restaurants, Nightclubs and Entertainment Businesses</w:t>
      </w:r>
    </w:p>
    <w:p>
      <w:pPr>
        <w:spacing w:line="270" w:lineRule="auto" w:after="0" w:before="0"/>
        <w:ind w:right="0" w:left="0"/>
      </w:pPr>
      <w:r>
        <w:rPr>
          <w:rFonts w:ascii="Arial" w:hAnsi="Arial" w:cs="Arial" w:eastAsia="Arial"/>
          <w:sz w:val="54"/>
        </w:rPr>
        <w:t>Security assessments, employee integrity, loss prevention, incident management and corporate security training.</w:t>
      </w:r>
    </w:p>
    <w:p>
      <w:pPr>
        <w:spacing w:line="270" w:lineRule="auto" w:after="0" w:before="0"/>
        <w:ind w:right="0" w:left="0"/>
      </w:pPr>
      <w:r>
        <w:rPr>
          <w:rFonts w:ascii="Arial" w:hAnsi="Arial" w:cs="Arial" w:eastAsia="Arial"/>
          <w:b w:val="true"/>
          <w:sz w:val="54"/>
        </w:rPr>
        <w:t>Metropolitan, Municipal and District Assemblies</w:t>
      </w:r>
    </w:p>
    <w:p>
      <w:pPr>
        <w:spacing w:line="270" w:lineRule="auto" w:after="0" w:before="0"/>
        <w:ind w:right="0" w:left="0"/>
      </w:pPr>
      <w:r>
        <w:rPr>
          <w:rFonts w:ascii="Arial" w:hAnsi="Arial" w:cs="Arial" w:eastAsia="Arial"/>
          <w:sz w:val="54"/>
        </w:rPr>
        <w:t>Capacity-building programmes, risk management, integrity and financial-crime prevention awareness, investigations and institutional advisory services, subject to applicable mandates and approvals.</w:t>
      </w:r>
    </w:p>
    <w:p>
      <w:pPr>
        <w:spacing w:line="270" w:lineRule="auto" w:after="0" w:before="0"/>
        <w:ind w:right="0" w:left="0"/>
      </w:pPr>
      <w:r>
        <w:rPr>
          <w:rFonts w:ascii="Arial" w:hAnsi="Arial" w:cs="Arial" w:eastAsia="Arial"/>
          <w:b w:val="true"/>
          <w:sz w:val="54"/>
        </w:rPr>
        <w:t>Other Corporate and Public Institutions</w:t>
      </w:r>
    </w:p>
    <w:p>
      <w:pPr>
        <w:spacing w:line="270" w:lineRule="auto" w:after="0" w:before="0"/>
        <w:ind w:right="0" w:left="0"/>
      </w:pPr>
      <w:r>
        <w:rPr>
          <w:rFonts w:ascii="Arial" w:hAnsi="Arial" w:cs="Arial" w:eastAsia="Arial"/>
          <w:sz w:val="54"/>
        </w:rPr>
        <w:t xml:space="preserve">We also provide customised services based on </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0788622109.png"/>
            <wp:cNvGraphicFramePr/>
            <a:graphic xmlns:a="http://schemas.openxmlformats.org/drawingml/2006/main">
              <a:graphicData uri="http://schemas.openxmlformats.org/drawingml/2006/picture">
                <pic:pic xmlns:pic="http://schemas.openxmlformats.org/drawingml/2006/picture">
                  <pic:nvPicPr>
                    <pic:cNvPr id="19" name="Picture 19" descr="image1790788622109.png"/>
                    <pic:cNvPicPr>
                      <a:picLocks noChangeAspect="true"/>
                    </pic:cNvPicPr>
                  </pic:nvPicPr>
                  <pic:blipFill>
                    <a:blip r:embed="rId19"/>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sz w:val="54"/>
        </w:rPr>
        <w:t>the specific needs and risk profile of each organisation.</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75"/>
        </w:rPr>
        <w:t>OUR APPROACH</w:t>
      </w:r>
    </w:p>
    <w:p>
      <w:pPr>
        <w:spacing w:line="270" w:lineRule="auto" w:after="0" w:before="0"/>
        <w:ind w:right="0" w:left="0"/>
      </w:pPr>
      <w:r>
        <w:rPr>
          <w:rFonts w:ascii="Arial" w:hAnsi="Arial" w:cs="Arial" w:eastAsia="Arial"/>
          <w:sz w:val="54"/>
        </w:rPr>
        <w:t>Our work is guided by five principles:</w:t>
      </w:r>
    </w:p>
    <w:p>
      <w:pPr>
        <w:spacing w:line="270" w:lineRule="auto" w:after="0" w:before="0"/>
        <w:ind w:right="0" w:left="0"/>
      </w:pPr>
      <w:r>
        <w:rPr>
          <w:rFonts w:ascii="Arial" w:hAnsi="Arial" w:cs="Arial" w:eastAsia="Arial"/>
          <w:b w:val="true"/>
          <w:sz w:val="54"/>
        </w:rPr>
        <w:t>Prevention</w:t>
      </w:r>
    </w:p>
    <w:p>
      <w:pPr>
        <w:spacing w:line="270" w:lineRule="auto" w:after="0" w:before="0"/>
        <w:ind w:right="0" w:left="0"/>
      </w:pPr>
      <w:r>
        <w:rPr>
          <w:rFonts w:ascii="Arial" w:hAnsi="Arial" w:cs="Arial" w:eastAsia="Arial"/>
          <w:sz w:val="54"/>
        </w:rPr>
        <w:t>We help clients identify risks before they become costly problems.</w:t>
      </w:r>
    </w:p>
    <w:p>
      <w:pPr>
        <w:spacing w:line="270" w:lineRule="auto" w:after="0" w:before="0"/>
        <w:ind w:right="0" w:left="0"/>
      </w:pPr>
      <w:r>
        <w:rPr>
          <w:rFonts w:ascii="Arial" w:hAnsi="Arial" w:cs="Arial" w:eastAsia="Arial"/>
          <w:b w:val="true"/>
          <w:sz w:val="54"/>
        </w:rPr>
        <w:t>Professionalism</w:t>
      </w:r>
    </w:p>
    <w:p>
      <w:pPr>
        <w:spacing w:line="270" w:lineRule="auto" w:after="0" w:before="0"/>
        <w:ind w:right="0" w:left="0"/>
      </w:pPr>
      <w:r>
        <w:rPr>
          <w:rFonts w:ascii="Arial" w:hAnsi="Arial" w:cs="Arial" w:eastAsia="Arial"/>
          <w:sz w:val="54"/>
        </w:rPr>
        <w:t>We approach every assignment with appropriate professional standards and attention to detail.</w:t>
      </w:r>
    </w:p>
    <w:p>
      <w:pPr>
        <w:spacing w:line="270" w:lineRule="auto" w:after="0" w:before="0"/>
        <w:ind w:right="0" w:left="0"/>
      </w:pPr>
      <w:r>
        <w:rPr>
          <w:rFonts w:ascii="Arial" w:hAnsi="Arial" w:cs="Arial" w:eastAsia="Arial"/>
          <w:b w:val="true"/>
          <w:sz w:val="54"/>
        </w:rPr>
        <w:t>Confidentiality</w:t>
      </w:r>
    </w:p>
    <w:p>
      <w:pPr>
        <w:spacing w:line="270" w:lineRule="auto" w:after="0" w:before="0"/>
        <w:ind w:right="0" w:left="0"/>
      </w:pPr>
      <w:r>
        <w:rPr>
          <w:rFonts w:ascii="Arial" w:hAnsi="Arial" w:cs="Arial" w:eastAsia="Arial"/>
          <w:sz w:val="54"/>
        </w:rPr>
        <w:t>Client information and assignment details are handled with appropriate confidentiality.</w:t>
      </w:r>
    </w:p>
    <w:p>
      <w:pPr>
        <w:spacing w:line="270" w:lineRule="auto" w:after="0" w:before="0"/>
        <w:ind w:right="0" w:left="0"/>
      </w:pPr>
      <w:r>
        <w:rPr>
          <w:rFonts w:ascii="Arial" w:hAnsi="Arial" w:cs="Arial" w:eastAsia="Arial"/>
          <w:b w:val="true"/>
          <w:sz w:val="54"/>
        </w:rPr>
        <w:t>Integrity</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0788622113.png"/>
            <wp:cNvGraphicFramePr/>
            <a:graphic xmlns:a="http://schemas.openxmlformats.org/drawingml/2006/main">
              <a:graphicData uri="http://schemas.openxmlformats.org/drawingml/2006/picture">
                <pic:pic xmlns:pic="http://schemas.openxmlformats.org/drawingml/2006/picture">
                  <pic:nvPicPr>
                    <pic:cNvPr id="20" name="Picture 20" descr="image1790788622113.png"/>
                    <pic:cNvPicPr>
                      <a:picLocks noChangeAspect="true"/>
                    </pic:cNvPicPr>
                  </pic:nvPicPr>
                  <pic:blipFill>
                    <a:blip r:embed="rId20"/>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sz w:val="54"/>
        </w:rPr>
        <w:t>We maintain high standards of honesty, objectivity and ethical conduct.</w:t>
      </w:r>
    </w:p>
    <w:p>
      <w:pPr>
        <w:spacing w:line="270" w:lineRule="auto" w:after="0" w:before="0"/>
        <w:ind w:right="0" w:left="0"/>
      </w:pPr>
      <w:r>
        <w:rPr>
          <w:rFonts w:ascii="Arial" w:hAnsi="Arial" w:cs="Arial" w:eastAsia="Arial"/>
          <w:b w:val="true"/>
          <w:sz w:val="54"/>
        </w:rPr>
        <w:t>Practical Solutions</w:t>
      </w:r>
    </w:p>
    <w:p>
      <w:pPr>
        <w:spacing w:line="270" w:lineRule="auto" w:after="0" w:before="0"/>
        <w:ind w:right="0" w:left="0"/>
      </w:pPr>
      <w:r>
        <w:rPr>
          <w:rFonts w:ascii="Arial" w:hAnsi="Arial" w:cs="Arial" w:eastAsia="Arial"/>
          <w:sz w:val="54"/>
        </w:rPr>
        <w:t>Our recommendations are designed to be realistic, implementable and relevant to the client's operating environment.</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75"/>
        </w:rPr>
        <w:t>WHY WORK WITH US?</w:t>
      </w:r>
    </w:p>
    <w:p>
      <w:pPr>
        <w:spacing w:line="270" w:lineRule="auto" w:after="0" w:before="0"/>
        <w:ind w:right="0" w:left="0"/>
      </w:pPr>
      <w:r>
        <w:rPr>
          <w:rFonts w:ascii="Arial" w:hAnsi="Arial" w:cs="Arial" w:eastAsia="Arial"/>
          <w:sz w:val="54"/>
        </w:rPr>
        <w:t>Gyanbg Corporate Consult understands that every organisation faces different risks.</w:t>
      </w:r>
    </w:p>
    <w:p>
      <w:pPr>
        <w:spacing w:line="270" w:lineRule="auto" w:after="0" w:before="0"/>
        <w:ind w:right="0" w:left="0"/>
      </w:pPr>
      <w:r>
        <w:rPr>
          <w:rFonts w:ascii="Arial" w:hAnsi="Arial" w:cs="Arial" w:eastAsia="Arial"/>
          <w:sz w:val="54"/>
        </w:rPr>
        <w:t>We therefore do not believe in a one-size-fits-all approach.</w:t>
      </w:r>
    </w:p>
    <w:p>
      <w:pPr>
        <w:spacing w:line="270" w:lineRule="auto" w:after="0" w:before="0"/>
        <w:ind w:right="0" w:left="0"/>
      </w:pPr>
      <w:r>
        <w:rPr>
          <w:rFonts w:ascii="Arial" w:hAnsi="Arial" w:cs="Arial" w:eastAsia="Arial"/>
          <w:sz w:val="54"/>
        </w:rPr>
        <w:t>Our consultants work with clients to:</w:t>
      </w:r>
    </w:p>
    <w:p>
      <w:pPr>
        <w:spacing w:line="270" w:lineRule="auto" w:after="0" w:before="0"/>
        <w:ind w:right="0" w:left="0"/>
      </w:pPr>
      <w:r>
        <w:rPr>
          <w:rFonts w:ascii="Arial" w:hAnsi="Arial" w:cs="Arial" w:eastAsia="Arial"/>
          <w:b w:val="true"/>
          <w:sz w:val="54"/>
        </w:rPr>
        <w:t>Identify → Assess → Prevent → Investigate → Resolve → Recover → Strengthen</w:t>
      </w:r>
    </w:p>
    <w:p>
      <w:pPr>
        <w:spacing w:line="270" w:lineRule="auto" w:after="0" w:before="0"/>
        <w:ind w:right="0" w:left="0"/>
      </w:pPr>
      <w:r>
        <w:rPr>
          <w:rFonts w:ascii="Arial" w:hAnsi="Arial" w:cs="Arial" w:eastAsia="Arial"/>
          <w:sz w:val="54"/>
        </w:rPr>
        <w:t xml:space="preserve">This approach enables organisations to move beyond reacting to incidents and develop stronger systems for prevention and risk </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0788622117.png"/>
            <wp:cNvGraphicFramePr/>
            <a:graphic xmlns:a="http://schemas.openxmlformats.org/drawingml/2006/main">
              <a:graphicData uri="http://schemas.openxmlformats.org/drawingml/2006/picture">
                <pic:pic xmlns:pic="http://schemas.openxmlformats.org/drawingml/2006/picture">
                  <pic:nvPicPr>
                    <pic:cNvPr id="21" name="Picture 21" descr="image1790788622117.png"/>
                    <pic:cNvPicPr>
                      <a:picLocks noChangeAspect="true"/>
                    </pic:cNvPicPr>
                  </pic:nvPicPr>
                  <pic:blipFill>
                    <a:blip r:embed="rId21"/>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sz w:val="54"/>
        </w:rPr>
        <w:t>managemen</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75"/>
        </w:rPr>
        <w:t>OUR GEOGRAPHICAL FOCUS</w:t>
      </w:r>
    </w:p>
    <w:p>
      <w:pPr>
        <w:spacing w:line="270" w:lineRule="auto" w:after="0" w:before="0"/>
        <w:ind w:right="0" w:left="0"/>
      </w:pPr>
      <w:r>
        <w:rPr>
          <w:rFonts w:ascii="Arial" w:hAnsi="Arial" w:cs="Arial" w:eastAsia="Arial"/>
          <w:sz w:val="54"/>
        </w:rPr>
        <w:t xml:space="preserve">Gyanbg Corporate Consult has a strategic focus on the </w:t>
      </w:r>
      <w:r>
        <w:rPr>
          <w:rFonts w:ascii="Arial" w:hAnsi="Arial" w:cs="Arial" w:eastAsia="Arial"/>
          <w:b w:val="true"/>
          <w:sz w:val="54"/>
        </w:rPr>
        <w:t>five northern regions of Ghana:</w:t>
      </w:r>
    </w:p>
    <w:p>
      <w:pPr>
        <w:numPr>
          <w:numId w:val="14"/>
        </w:numPr>
        <w:spacing w:line="270" w:lineRule="auto" w:after="0" w:before="0"/>
        <w:ind w:right="0" w:left="0"/>
      </w:pPr>
      <w:r>
        <w:rPr>
          <w:rFonts w:ascii="Arial" w:hAnsi="Arial" w:cs="Arial" w:eastAsia="Arial"/>
          <w:b w:val="true"/>
          <w:sz w:val="54"/>
        </w:rPr>
        <w:t>Northern Region</w:t>
      </w:r>
    </w:p>
    <w:p>
      <w:pPr>
        <w:numPr>
          <w:numId w:val="14"/>
        </w:numPr>
        <w:spacing w:line="270" w:lineRule="auto" w:after="0" w:before="0"/>
        <w:ind w:right="0" w:left="0"/>
      </w:pPr>
      <w:r>
        <w:rPr>
          <w:rFonts w:ascii="Arial" w:hAnsi="Arial" w:cs="Arial" w:eastAsia="Arial"/>
          <w:b w:val="true"/>
          <w:sz w:val="54"/>
        </w:rPr>
        <w:t>Savannah Region</w:t>
      </w:r>
    </w:p>
    <w:p>
      <w:pPr>
        <w:numPr>
          <w:numId w:val="14"/>
        </w:numPr>
        <w:spacing w:line="270" w:lineRule="auto" w:after="0" w:before="0"/>
        <w:ind w:right="0" w:left="0"/>
      </w:pPr>
      <w:r>
        <w:rPr>
          <w:rFonts w:ascii="Arial" w:hAnsi="Arial" w:cs="Arial" w:eastAsia="Arial"/>
          <w:b w:val="true"/>
          <w:sz w:val="54"/>
        </w:rPr>
        <w:t>North East Region</w:t>
      </w:r>
    </w:p>
    <w:p>
      <w:pPr>
        <w:numPr>
          <w:numId w:val="14"/>
        </w:numPr>
        <w:spacing w:line="270" w:lineRule="auto" w:after="0" w:before="0"/>
        <w:ind w:right="0" w:left="0"/>
      </w:pPr>
      <w:r>
        <w:rPr>
          <w:rFonts w:ascii="Arial" w:hAnsi="Arial" w:cs="Arial" w:eastAsia="Arial"/>
          <w:b w:val="true"/>
          <w:sz w:val="54"/>
        </w:rPr>
        <w:t>Upper East Region</w:t>
      </w:r>
    </w:p>
    <w:p>
      <w:pPr>
        <w:numPr>
          <w:numId w:val="14"/>
        </w:numPr>
        <w:spacing w:line="270" w:lineRule="auto" w:after="0" w:before="0"/>
        <w:ind w:right="0" w:left="0"/>
      </w:pPr>
      <w:r>
        <w:rPr>
          <w:rFonts w:ascii="Arial" w:hAnsi="Arial" w:cs="Arial" w:eastAsia="Arial"/>
          <w:b w:val="true"/>
          <w:sz w:val="54"/>
        </w:rPr>
        <w:t>Upper West Region</w:t>
      </w:r>
    </w:p>
    <w:p>
      <w:pPr>
        <w:spacing w:line="270" w:lineRule="auto" w:after="0" w:before="0"/>
        <w:ind w:right="0" w:left="0"/>
      </w:pPr>
      <w:r>
        <w:rPr>
          <w:rFonts w:ascii="Arial" w:hAnsi="Arial" w:cs="Arial" w:eastAsia="Arial"/>
          <w:sz w:val="54"/>
        </w:rPr>
        <w:t>Our geographical focus enables us to understand the institutional, commercial, social and operational environment within Northern Ghana while providing services to organisations across the country.</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75"/>
        </w:rPr>
        <w:t>OUR PROFESSIONAL COMMITMENT</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0788622123.png"/>
            <wp:cNvGraphicFramePr/>
            <a:graphic xmlns:a="http://schemas.openxmlformats.org/drawingml/2006/main">
              <a:graphicData uri="http://schemas.openxmlformats.org/drawingml/2006/picture">
                <pic:pic xmlns:pic="http://schemas.openxmlformats.org/drawingml/2006/picture">
                  <pic:nvPicPr>
                    <pic:cNvPr id="22" name="Picture 22" descr="image1790788622123.png"/>
                    <pic:cNvPicPr>
                      <a:picLocks noChangeAspect="true"/>
                    </pic:cNvPicPr>
                  </pic:nvPicPr>
                  <pic:blipFill>
                    <a:blip r:embed="rId22"/>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sz w:val="54"/>
        </w:rPr>
        <w:t>We are committed to providing services that are:</w:t>
      </w:r>
    </w:p>
    <w:p>
      <w:pPr>
        <w:spacing w:line="270" w:lineRule="auto" w:after="0" w:before="0"/>
        <w:ind w:right="0" w:left="0"/>
      </w:pPr>
      <w:r>
        <w:rPr>
          <w:rFonts w:ascii="Arial" w:hAnsi="Arial" w:cs="Arial" w:eastAsia="Arial"/>
          <w:b w:val="true"/>
          <w:sz w:val="54"/>
        </w:rPr>
        <w:t>Professional | Ethical | Confidential | Evidence-Based | Client-Focused | Lawful</w:t>
      </w:r>
    </w:p>
    <w:p>
      <w:pPr>
        <w:spacing w:line="270" w:lineRule="auto" w:after="0" w:before="0"/>
        <w:ind w:right="0" w:left="0"/>
      </w:pPr>
      <w:r>
        <w:rPr>
          <w:rFonts w:ascii="Arial" w:hAnsi="Arial" w:cs="Arial" w:eastAsia="Arial"/>
          <w:sz w:val="54"/>
        </w:rPr>
        <w:t>We do not compromise the confidentiality of our clients or the integrity of our professional assignments.</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75"/>
        </w:rPr>
        <w:t>LEADERSHIP</w:t>
      </w:r>
    </w:p>
    <w:p>
      <w:pPr>
        <w:spacing w:line="270" w:lineRule="auto" w:after="0" w:before="0"/>
        <w:ind w:right="0" w:left="0"/>
      </w:pPr>
      <w:r>
        <w:rPr>
          <w:rFonts w:ascii="Arial" w:hAnsi="Arial" w:cs="Arial" w:eastAsia="Arial"/>
          <w:b w:val="true"/>
          <w:sz w:val="68"/>
        </w:rPr>
        <w:t>PAUL AGYEI GYANG</w:t>
      </w:r>
    </w:p>
    <w:p>
      <w:pPr>
        <w:spacing w:line="270" w:lineRule="auto" w:after="0" w:before="0"/>
        <w:ind w:right="0" w:left="0"/>
      </w:pPr>
      <w:r>
        <w:rPr>
          <w:rFonts w:ascii="Arial" w:hAnsi="Arial" w:cs="Arial" w:eastAsia="Arial"/>
          <w:b w:val="true"/>
          <w:sz w:val="54"/>
        </w:rPr>
        <w:t>Executive Director</w:t>
      </w:r>
    </w:p>
    <w:p>
      <w:pPr>
        <w:spacing w:line="270" w:lineRule="auto" w:after="0" w:before="0"/>
        <w:ind w:right="0" w:left="0"/>
      </w:pPr>
      <w:r>
        <w:rPr>
          <w:rFonts w:ascii="Arial" w:hAnsi="Arial" w:cs="Arial" w:eastAsia="Arial"/>
          <w:b w:val="true"/>
          <w:sz w:val="54"/>
        </w:rPr>
        <w:t>Paul Agyei Gyang</w:t>
      </w:r>
      <w:r>
        <w:rPr>
          <w:rFonts w:ascii="Arial" w:hAnsi="Arial" w:cs="Arial" w:eastAsia="Arial"/>
          <w:sz w:val="54"/>
        </w:rPr>
        <w:t xml:space="preserve"> is the Executive Director of Gyanbg Corporate Consult and a professional with extensive experience in financial crime, organised crime, corporate investigations, security management and institutional capacity building.</w:t>
      </w:r>
    </w:p>
    <w:p>
      <w:pPr>
        <w:spacing w:line="270" w:lineRule="auto" w:after="0" w:before="0"/>
        <w:ind w:right="0" w:left="0"/>
      </w:pPr>
      <w:r>
        <w:rPr>
          <w:rFonts w:ascii="Arial" w:hAnsi="Arial" w:cs="Arial" w:eastAsia="Arial"/>
          <w:sz w:val="54"/>
        </w:rPr>
        <w:t xml:space="preserve">His professional background includes experience in law enforcement, financial crime </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0788622127.png"/>
            <wp:cNvGraphicFramePr/>
            <a:graphic xmlns:a="http://schemas.openxmlformats.org/drawingml/2006/main">
              <a:graphicData uri="http://schemas.openxmlformats.org/drawingml/2006/picture">
                <pic:pic xmlns:pic="http://schemas.openxmlformats.org/drawingml/2006/picture">
                  <pic:nvPicPr>
                    <pic:cNvPr id="23" name="Picture 23" descr="image1790788622127.png"/>
                    <pic:cNvPicPr>
                      <a:picLocks noChangeAspect="true"/>
                    </pic:cNvPicPr>
                  </pic:nvPicPr>
                  <pic:blipFill>
                    <a:blip r:embed="rId23"/>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sz w:val="54"/>
        </w:rPr>
        <w:t>investigation, organised crime investigation and corporate security.</w:t>
      </w:r>
    </w:p>
    <w:p>
      <w:pPr>
        <w:spacing w:line="270" w:lineRule="auto" w:after="0" w:before="0"/>
        <w:ind w:right="0" w:left="0"/>
      </w:pPr>
      <w:r>
        <w:rPr>
          <w:rFonts w:ascii="Arial" w:hAnsi="Arial" w:cs="Arial" w:eastAsia="Arial"/>
          <w:sz w:val="54"/>
        </w:rPr>
        <w:t xml:space="preserve">He has also been involved in professional training and capacity development in areas including </w:t>
      </w:r>
      <w:r>
        <w:rPr>
          <w:rFonts w:ascii="Arial" w:hAnsi="Arial" w:cs="Arial" w:eastAsia="Arial"/>
          <w:b w:val="true"/>
          <w:sz w:val="54"/>
        </w:rPr>
        <w:t>corporate investigation, security management, financial crime prevention and organised crime.</w:t>
      </w:r>
    </w:p>
    <w:p>
      <w:pPr>
        <w:spacing w:line="270" w:lineRule="auto" w:after="0" w:before="0"/>
        <w:ind w:right="0" w:left="0"/>
      </w:pPr>
      <w:r>
        <w:rPr>
          <w:rFonts w:ascii="Arial" w:hAnsi="Arial" w:cs="Arial" w:eastAsia="Arial"/>
          <w:sz w:val="54"/>
        </w:rPr>
        <w:t>His experience informs the firm's commitment to practical and professional solutions for corporate and institutional clients.</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75"/>
        </w:rPr>
        <w:t>OUR CLIENT-CENTRED MODEL</w:t>
      </w:r>
    </w:p>
    <w:p>
      <w:pPr>
        <w:spacing w:line="270" w:lineRule="auto" w:after="0" w:before="0"/>
        <w:ind w:right="0" w:left="0"/>
      </w:pPr>
      <w:r>
        <w:rPr>
          <w:rFonts w:ascii="Arial" w:hAnsi="Arial" w:cs="Arial" w:eastAsia="Arial"/>
          <w:sz w:val="54"/>
        </w:rPr>
        <w:t>For each assignment, we seek to understand:</w:t>
      </w:r>
    </w:p>
    <w:p>
      <w:pPr>
        <w:spacing w:line="270" w:lineRule="auto" w:after="0" w:before="0"/>
        <w:ind w:right="0" w:left="0"/>
      </w:pPr>
      <w:r>
        <w:rPr>
          <w:rFonts w:ascii="Arial" w:hAnsi="Arial" w:cs="Arial" w:eastAsia="Arial"/>
          <w:b w:val="true"/>
          <w:sz w:val="54"/>
        </w:rPr>
        <w:t>1. The client's objective</w:t>
      </w:r>
    </w:p>
    <w:p>
      <w:pPr>
        <w:spacing w:line="270" w:lineRule="auto" w:after="0" w:before="0"/>
        <w:ind w:right="0" w:left="0"/>
      </w:pPr>
      <w:r>
        <w:rPr>
          <w:rFonts w:ascii="Arial" w:hAnsi="Arial" w:cs="Arial" w:eastAsia="Arial"/>
          <w:sz w:val="54"/>
        </w:rPr>
        <w:t xml:space="preserve"> What does the organisation need to achieve?</w:t>
      </w:r>
    </w:p>
    <w:p>
      <w:pPr>
        <w:spacing w:line="270" w:lineRule="auto" w:after="0" w:before="0"/>
        <w:ind w:right="0" w:left="0"/>
      </w:pPr>
      <w:r>
        <w:rPr>
          <w:rFonts w:ascii="Arial" w:hAnsi="Arial" w:cs="Arial" w:eastAsia="Arial"/>
          <w:b w:val="true"/>
          <w:sz w:val="54"/>
        </w:rPr>
        <w:t>2. The risk or problem</w:t>
      </w:r>
    </w:p>
    <w:p>
      <w:pPr>
        <w:spacing w:line="270" w:lineRule="auto" w:after="0" w:before="0"/>
        <w:ind w:right="0" w:left="0"/>
      </w:pPr>
      <w:r>
        <w:rPr>
          <w:rFonts w:ascii="Arial" w:hAnsi="Arial" w:cs="Arial" w:eastAsia="Arial"/>
          <w:sz w:val="54"/>
        </w:rPr>
        <w:t xml:space="preserve"> What is creating the challenge?</w:t>
      </w:r>
    </w:p>
    <w:p>
      <w:pPr>
        <w:spacing w:line="270" w:lineRule="auto" w:after="0" w:before="0"/>
        <w:ind w:right="0" w:left="0"/>
      </w:pPr>
      <w:r>
        <w:rPr>
          <w:rFonts w:ascii="Arial" w:hAnsi="Arial" w:cs="Arial" w:eastAsia="Arial"/>
          <w:b w:val="true"/>
          <w:sz w:val="54"/>
        </w:rPr>
        <w:t>3. The available evidence and information</w:t>
      </w:r>
    </w:p>
    <w:p>
      <w:pPr>
        <w:spacing w:line="270" w:lineRule="auto" w:after="0" w:before="0"/>
        <w:ind w:right="0" w:left="0"/>
      </w:pPr>
      <w:r>
        <w:rPr>
          <w:rFonts w:ascii="Arial" w:hAnsi="Arial" w:cs="Arial" w:eastAsia="Arial"/>
          <w:sz w:val="54"/>
        </w:rPr>
        <w:t xml:space="preserve"> What information can legitimately be assessed?</w:t>
      </w:r>
    </w:p>
    <w:p>
      <w:pPr>
        <w:spacing w:line="270" w:lineRule="auto" w:after="0" w:before="0"/>
        <w:ind w:right="0" w:left="0"/>
      </w:pPr>
      <w:r>
        <w:rPr>
          <w:rFonts w:ascii="Arial" w:hAnsi="Arial" w:cs="Arial" w:eastAsia="Arial"/>
          <w:b w:val="true"/>
          <w:sz w:val="54"/>
        </w:rPr>
        <w:t>4. The appropriate intervention</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0788622132.png"/>
            <wp:cNvGraphicFramePr/>
            <a:graphic xmlns:a="http://schemas.openxmlformats.org/drawingml/2006/main">
              <a:graphicData uri="http://schemas.openxmlformats.org/drawingml/2006/picture">
                <pic:pic xmlns:pic="http://schemas.openxmlformats.org/drawingml/2006/picture">
                  <pic:nvPicPr>
                    <pic:cNvPr id="24" name="Picture 24" descr="image1790788622132.png"/>
                    <pic:cNvPicPr>
                      <a:picLocks noChangeAspect="true"/>
                    </pic:cNvPicPr>
                  </pic:nvPicPr>
                  <pic:blipFill>
                    <a:blip r:embed="rId24"/>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sz w:val="54"/>
        </w:rPr>
        <w:t xml:space="preserve"> What professional service is required?</w:t>
      </w:r>
    </w:p>
    <w:p>
      <w:pPr>
        <w:spacing w:line="270" w:lineRule="auto" w:after="0" w:before="0"/>
        <w:ind w:right="0" w:left="0"/>
      </w:pPr>
      <w:r>
        <w:rPr>
          <w:rFonts w:ascii="Arial" w:hAnsi="Arial" w:cs="Arial" w:eastAsia="Arial"/>
          <w:b w:val="true"/>
          <w:sz w:val="54"/>
        </w:rPr>
        <w:t>5. The recommended solution</w:t>
      </w:r>
    </w:p>
    <w:p>
      <w:pPr>
        <w:spacing w:line="270" w:lineRule="auto" w:after="0" w:before="0"/>
        <w:ind w:right="0" w:left="0"/>
      </w:pPr>
      <w:r>
        <w:rPr>
          <w:rFonts w:ascii="Arial" w:hAnsi="Arial" w:cs="Arial" w:eastAsia="Arial"/>
          <w:sz w:val="54"/>
        </w:rPr>
        <w:t xml:space="preserve"> What practical steps can the organisation take?</w:t>
      </w:r>
    </w:p>
    <w:p>
      <w:pPr>
        <w:spacing w:line="270" w:lineRule="auto" w:after="0" w:before="0"/>
        <w:ind w:right="0" w:left="0"/>
      </w:pPr>
      <w:r>
        <w:rPr>
          <w:rFonts w:ascii="Arial" w:hAnsi="Arial" w:cs="Arial" w:eastAsia="Arial"/>
          <w:b w:val="true"/>
          <w:sz w:val="54"/>
        </w:rPr>
        <w:t>6. Follow-up</w:t>
      </w:r>
    </w:p>
    <w:p>
      <w:pPr>
        <w:spacing w:line="270" w:lineRule="auto" w:after="0" w:before="0"/>
        <w:ind w:right="0" w:left="0"/>
      </w:pPr>
      <w:r>
        <w:rPr>
          <w:rFonts w:ascii="Arial" w:hAnsi="Arial" w:cs="Arial" w:eastAsia="Arial"/>
          <w:sz w:val="54"/>
        </w:rPr>
        <w:t xml:space="preserve"> How can the client strengthen its systems after the assignment?</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75"/>
        </w:rPr>
        <w:t>PARTNERSHIPS</w:t>
      </w:r>
    </w:p>
    <w:p>
      <w:pPr>
        <w:spacing w:line="270" w:lineRule="auto" w:after="0" w:before="0"/>
        <w:ind w:right="0" w:left="0"/>
      </w:pPr>
      <w:r>
        <w:rPr>
          <w:rFonts w:ascii="Arial" w:hAnsi="Arial" w:cs="Arial" w:eastAsia="Arial"/>
          <w:sz w:val="54"/>
        </w:rPr>
        <w:t>Gyanbg Corporate Consult welcomes professional partnerships with:</w:t>
      </w:r>
    </w:p>
    <w:p>
      <w:pPr>
        <w:numPr>
          <w:numId w:val="14"/>
        </w:numPr>
        <w:spacing w:line="270" w:lineRule="auto" w:after="0" w:before="0"/>
        <w:ind w:right="0" w:left="0"/>
      </w:pPr>
      <w:r>
        <w:rPr>
          <w:rFonts w:ascii="Arial" w:hAnsi="Arial" w:cs="Arial" w:eastAsia="Arial"/>
          <w:sz w:val="54"/>
        </w:rPr>
        <w:t>Corporate organisations</w:t>
      </w:r>
    </w:p>
    <w:p>
      <w:pPr>
        <w:numPr>
          <w:numId w:val="14"/>
        </w:numPr>
        <w:spacing w:line="270" w:lineRule="auto" w:after="0" w:before="0"/>
        <w:ind w:right="0" w:left="0"/>
      </w:pPr>
      <w:r>
        <w:rPr>
          <w:rFonts w:ascii="Arial" w:hAnsi="Arial" w:cs="Arial" w:eastAsia="Arial"/>
          <w:sz w:val="54"/>
        </w:rPr>
        <w:t>Financial institutions</w:t>
      </w:r>
    </w:p>
    <w:p>
      <w:pPr>
        <w:numPr>
          <w:numId w:val="14"/>
        </w:numPr>
        <w:spacing w:line="270" w:lineRule="auto" w:after="0" w:before="0"/>
        <w:ind w:right="0" w:left="0"/>
      </w:pPr>
      <w:r>
        <w:rPr>
          <w:rFonts w:ascii="Arial" w:hAnsi="Arial" w:cs="Arial" w:eastAsia="Arial"/>
          <w:sz w:val="54"/>
        </w:rPr>
        <w:t>Educational institutions</w:t>
      </w:r>
    </w:p>
    <w:p>
      <w:pPr>
        <w:numPr>
          <w:numId w:val="14"/>
        </w:numPr>
        <w:spacing w:line="270" w:lineRule="auto" w:after="0" w:before="0"/>
        <w:ind w:right="0" w:left="0"/>
      </w:pPr>
      <w:r>
        <w:rPr>
          <w:rFonts w:ascii="Arial" w:hAnsi="Arial" w:cs="Arial" w:eastAsia="Arial"/>
          <w:sz w:val="54"/>
        </w:rPr>
        <w:t>Mining companies</w:t>
      </w:r>
    </w:p>
    <w:p>
      <w:pPr>
        <w:numPr>
          <w:numId w:val="14"/>
        </w:numPr>
        <w:spacing w:line="270" w:lineRule="auto" w:after="0" w:before="0"/>
        <w:ind w:right="0" w:left="0"/>
      </w:pPr>
      <w:r>
        <w:rPr>
          <w:rFonts w:ascii="Arial" w:hAnsi="Arial" w:cs="Arial" w:eastAsia="Arial"/>
          <w:sz w:val="54"/>
        </w:rPr>
        <w:t>Hotels and hospitality businesses</w:t>
      </w:r>
    </w:p>
    <w:p>
      <w:pPr>
        <w:numPr>
          <w:numId w:val="14"/>
        </w:numPr>
        <w:spacing w:line="270" w:lineRule="auto" w:after="0" w:before="0"/>
        <w:ind w:right="0" w:left="0"/>
      </w:pPr>
      <w:r>
        <w:rPr>
          <w:rFonts w:ascii="Arial" w:hAnsi="Arial" w:cs="Arial" w:eastAsia="Arial"/>
          <w:sz w:val="54"/>
        </w:rPr>
        <w:t>NGOs and development organisations</w:t>
      </w:r>
    </w:p>
    <w:p>
      <w:pPr>
        <w:numPr>
          <w:numId w:val="14"/>
        </w:numPr>
        <w:spacing w:line="270" w:lineRule="auto" w:after="0" w:before="0"/>
        <w:ind w:right="0" w:left="0"/>
      </w:pPr>
      <w:r>
        <w:rPr>
          <w:rFonts w:ascii="Arial" w:hAnsi="Arial" w:cs="Arial" w:eastAsia="Arial"/>
          <w:sz w:val="54"/>
        </w:rPr>
        <w:t>Faith-based organisations</w:t>
      </w:r>
    </w:p>
    <w:p>
      <w:pPr>
        <w:numPr>
          <w:numId w:val="14"/>
        </w:numPr>
        <w:spacing w:line="270" w:lineRule="auto" w:after="0" w:before="0"/>
        <w:ind w:right="0" w:left="0"/>
      </w:pPr>
      <w:r>
        <w:rPr>
          <w:rFonts w:ascii="Arial" w:hAnsi="Arial" w:cs="Arial" w:eastAsia="Arial"/>
          <w:sz w:val="54"/>
        </w:rPr>
        <w:t>Professional associations</w:t>
      </w:r>
    </w:p>
    <w:p>
      <w:pPr>
        <w:numPr>
          <w:numId w:val="14"/>
        </w:numPr>
        <w:spacing w:line="270" w:lineRule="auto" w:after="0" w:before="0"/>
        <w:ind w:right="0" w:left="0"/>
      </w:pPr>
      <w:r>
        <w:rPr>
          <w:rFonts w:ascii="Arial" w:hAnsi="Arial" w:cs="Arial" w:eastAsia="Arial"/>
          <w:sz w:val="54"/>
        </w:rPr>
        <w:t>Local authorities</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0788622139.png"/>
            <wp:cNvGraphicFramePr/>
            <a:graphic xmlns:a="http://schemas.openxmlformats.org/drawingml/2006/main">
              <a:graphicData uri="http://schemas.openxmlformats.org/drawingml/2006/picture">
                <pic:pic xmlns:pic="http://schemas.openxmlformats.org/drawingml/2006/picture">
                  <pic:nvPicPr>
                    <pic:cNvPr id="25" name="Picture 25" descr="image1790788622139.png"/>
                    <pic:cNvPicPr>
                      <a:picLocks noChangeAspect="true"/>
                    </pic:cNvPicPr>
                  </pic:nvPicPr>
                  <pic:blipFill>
                    <a:blip r:embed="rId25"/>
                    <a:stretch>
                      <a:fillRect/>
                    </a:stretch>
                  </pic:blipFill>
                  <pic:spPr>
                    <a:xfrm>
                      <a:off x="0" y="0"/>
                      <a:ext cx="16802100" cy="23749000"/>
                    </a:xfrm>
                    <a:prstGeom prst="rect">
                      <a:avLst/>
                    </a:prstGeom>
                  </pic:spPr>
                </pic:pic>
              </a:graphicData>
            </a:graphic>
          </wp:anchor>
        </w:drawing>
      </w:r>
    </w:p>
    <w:p>
      <w:pPr>
        <w:numPr>
          <w:numId w:val="14"/>
        </w:numPr>
        <w:spacing w:line="270" w:lineRule="auto" w:after="0" w:before="0"/>
        <w:ind w:right="0" w:left="0"/>
      </w:pPr>
      <w:r>
        <w:rPr>
          <w:rFonts w:ascii="Arial" w:hAnsi="Arial" w:cs="Arial" w:eastAsia="Arial"/>
          <w:sz w:val="54"/>
        </w:rPr>
        <w:t>Security and risk-management professionals</w:t>
      </w:r>
    </w:p>
    <w:p>
      <w:pPr>
        <w:numPr>
          <w:numId w:val="14"/>
        </w:numPr>
        <w:spacing w:line="270" w:lineRule="auto" w:after="0" w:before="0"/>
        <w:ind w:right="0" w:left="0"/>
      </w:pPr>
      <w:r>
        <w:rPr>
          <w:rFonts w:ascii="Arial" w:hAnsi="Arial" w:cs="Arial" w:eastAsia="Arial"/>
          <w:sz w:val="54"/>
        </w:rPr>
        <w:t>Legal and ADR practitioners</w:t>
      </w:r>
    </w:p>
    <w:p>
      <w:pPr>
        <w:numPr>
          <w:numId w:val="14"/>
        </w:numPr>
        <w:spacing w:line="270" w:lineRule="auto" w:after="0" w:before="0"/>
        <w:ind w:right="0" w:left="0"/>
      </w:pPr>
      <w:r>
        <w:rPr>
          <w:rFonts w:ascii="Arial" w:hAnsi="Arial" w:cs="Arial" w:eastAsia="Arial"/>
          <w:sz w:val="54"/>
        </w:rPr>
        <w:t>Research and training institutions</w:t>
      </w:r>
    </w:p>
    <w:p>
      <w:pPr>
        <w:spacing w:line="270" w:lineRule="auto" w:after="0" w:before="0"/>
        <w:ind w:right="0" w:left="0"/>
      </w:pPr>
      <w:r>
        <w:rPr>
          <w:rFonts w:ascii="Arial" w:hAnsi="Arial" w:cs="Arial" w:eastAsia="Arial"/>
          <w:sz w:val="54"/>
        </w:rPr>
        <w:t>Partnerships may involve research, training, consultancy, conferences, capacity building and other mutually agreed professional activities.</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75"/>
        </w:rPr>
        <w:t>OUR COMMITMENT TO NORTHERN GHANA</w:t>
      </w:r>
    </w:p>
    <w:p>
      <w:pPr>
        <w:spacing w:line="270" w:lineRule="auto" w:after="0" w:before="0"/>
        <w:ind w:right="0" w:left="0"/>
      </w:pPr>
      <w:r>
        <w:rPr>
          <w:rFonts w:ascii="Arial" w:hAnsi="Arial" w:cs="Arial" w:eastAsia="Arial"/>
          <w:sz w:val="54"/>
        </w:rPr>
        <w:t>Gyanbg Corporate Consult is committed to contributing to the development of stronger, safer and more accountable institutions in Northern Ghana.</w:t>
      </w:r>
    </w:p>
    <w:p>
      <w:pPr>
        <w:spacing w:line="270" w:lineRule="auto" w:after="0" w:before="0"/>
        <w:ind w:right="0" w:left="0"/>
      </w:pPr>
      <w:r>
        <w:rPr>
          <w:rFonts w:ascii="Arial" w:hAnsi="Arial" w:cs="Arial" w:eastAsia="Arial"/>
          <w:sz w:val="54"/>
        </w:rPr>
        <w:t>We recognise the growing importance of effective corporate governance, security management, fraud prevention, responsible financial management and professional dispute resolution in the region.</w:t>
      </w:r>
    </w:p>
    <w:p>
      <w:pPr>
        <w:spacing w:line="270" w:lineRule="auto" w:after="0" w:before="0"/>
        <w:ind w:right="0" w:left="0"/>
      </w:pPr>
      <w:r>
        <w:rPr>
          <w:rFonts w:ascii="Arial" w:hAnsi="Arial" w:cs="Arial" w:eastAsia="Arial"/>
          <w:sz w:val="54"/>
        </w:rPr>
        <w:t xml:space="preserve">Our objective is to make high-quality </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0788622144.png"/>
            <wp:cNvGraphicFramePr/>
            <a:graphic xmlns:a="http://schemas.openxmlformats.org/drawingml/2006/main">
              <a:graphicData uri="http://schemas.openxmlformats.org/drawingml/2006/picture">
                <pic:pic xmlns:pic="http://schemas.openxmlformats.org/drawingml/2006/picture">
                  <pic:nvPicPr>
                    <pic:cNvPr id="26" name="Picture 26" descr="image1790788622144.png"/>
                    <pic:cNvPicPr>
                      <a:picLocks noChangeAspect="true"/>
                    </pic:cNvPicPr>
                  </pic:nvPicPr>
                  <pic:blipFill>
                    <a:blip r:embed="rId26"/>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sz w:val="54"/>
        </w:rPr>
        <w:t>professional consultancy services accessible to organisations operating within the five northern regions while building long-term relationships with businesses, institutions and communities.</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75"/>
        </w:rPr>
        <w:t>CONTACT US</w:t>
      </w:r>
    </w:p>
    <w:p>
      <w:pPr>
        <w:spacing w:line="270" w:lineRule="auto" w:after="0" w:before="0"/>
        <w:ind w:right="0" w:left="0"/>
      </w:pPr>
      <w:r>
        <w:rPr>
          <w:rFonts w:ascii="Arial" w:hAnsi="Arial" w:cs="Arial" w:eastAsia="Arial"/>
          <w:b w:val="true"/>
          <w:sz w:val="54"/>
        </w:rPr>
        <w:t>GYANBG CORPORATE CONSULT</w:t>
      </w:r>
    </w:p>
    <w:p>
      <w:pPr>
        <w:spacing w:line="270" w:lineRule="auto" w:after="0" w:before="0"/>
        <w:ind w:right="0" w:left="0"/>
      </w:pPr>
      <w:r>
        <w:rPr>
          <w:rFonts w:ascii="Arial" w:hAnsi="Arial" w:cs="Arial" w:eastAsia="Arial"/>
          <w:b w:val="true"/>
          <w:sz w:val="54"/>
        </w:rPr>
        <w:t>Professional Corporate Advisory, Security and Investigative Solutions</w:t>
      </w:r>
    </w:p>
    <w:p>
      <w:pPr>
        <w:spacing w:line="270" w:lineRule="auto" w:after="0" w:before="0"/>
        <w:ind w:right="0" w:left="0"/>
      </w:pPr>
      <w:r>
        <w:rPr>
          <w:rFonts w:ascii="Arial" w:hAnsi="Arial" w:cs="Arial" w:eastAsia="Arial"/>
          <w:b w:val="true"/>
          <w:sz w:val="54"/>
        </w:rPr>
        <w:t>Areas of Service:</w:t>
      </w:r>
    </w:p>
    <w:p>
      <w:pPr>
        <w:spacing w:line="270" w:lineRule="auto" w:after="0" w:before="0"/>
        <w:ind w:right="0" w:left="0"/>
      </w:pPr>
      <w:r>
        <w:rPr>
          <w:rFonts w:ascii="Arial" w:hAnsi="Arial" w:cs="Arial" w:eastAsia="Arial"/>
          <w:sz w:val="54"/>
        </w:rPr>
        <w:t xml:space="preserve"> Northern Region | Savannah Region | North East Region | Upper East Region | Upper West Region | Nationwide</w:t>
      </w:r>
    </w:p>
    <w:p>
      <w:pPr>
        <w:spacing w:line="270" w:lineRule="auto" w:after="0" w:before="0"/>
        <w:ind w:right="0" w:left="0"/>
      </w:pPr>
      <w:r>
        <w:rPr>
          <w:rFonts w:ascii="Arial" w:hAnsi="Arial" w:cs="Arial" w:eastAsia="Arial"/>
          <w:b w:val="true"/>
          <w:sz w:val="54"/>
        </w:rPr>
        <w:t>Email:</w:t>
      </w:r>
      <w:r>
        <w:rPr>
          <w:rFonts w:ascii="Arial" w:hAnsi="Arial" w:cs="Arial" w:eastAsia="Arial"/>
          <w:sz w:val="54"/>
        </w:rPr>
        <w:t xml:space="preserve"> [Insert official email]</w:t>
      </w:r>
    </w:p>
    <w:p>
      <w:pPr>
        <w:spacing w:line="270" w:lineRule="auto" w:after="0" w:before="0"/>
        <w:ind w:right="0" w:left="0"/>
      </w:pPr>
      <w:r>
        <w:rPr>
          <w:rFonts w:ascii="Arial" w:hAnsi="Arial" w:cs="Arial" w:eastAsia="Arial"/>
          <w:b w:val="true"/>
          <w:sz w:val="54"/>
        </w:rPr>
        <w:t>Telephone:</w:t>
      </w:r>
      <w:r>
        <w:rPr>
          <w:rFonts w:ascii="Arial" w:hAnsi="Arial" w:cs="Arial" w:eastAsia="Arial"/>
          <w:sz w:val="54"/>
        </w:rPr>
        <w:t xml:space="preserve"> [Insert telephone numbers]</w:t>
      </w:r>
    </w:p>
    <w:p>
      <w:pPr>
        <w:spacing w:line="270" w:lineRule="auto" w:after="0" w:before="0"/>
        <w:ind w:right="0" w:left="0"/>
      </w:pPr>
      <w:r>
        <w:rPr>
          <w:rFonts w:ascii="Arial" w:hAnsi="Arial" w:cs="Arial" w:eastAsia="Arial"/>
          <w:b w:val="true"/>
          <w:sz w:val="54"/>
        </w:rPr>
        <w:t>Office Address:</w:t>
      </w:r>
      <w:r>
        <w:rPr>
          <w:rFonts w:ascii="Arial" w:hAnsi="Arial" w:cs="Arial" w:eastAsia="Arial"/>
          <w:sz w:val="54"/>
        </w:rPr>
        <w:t xml:space="preserve"> [Insert office address]</w:t>
      </w:r>
    </w:p>
    <w:p>
      <w:pPr>
        <w:spacing w:line="270" w:lineRule="auto" w:after="0" w:before="0"/>
        <w:ind w:right="0" w:left="0"/>
      </w:pPr>
      <w:r>
        <w:rPr>
          <w:rFonts w:ascii="Arial" w:hAnsi="Arial" w:cs="Arial" w:eastAsia="Arial"/>
          <w:b w:val="true"/>
          <w:sz w:val="54"/>
        </w:rPr>
        <w:t>Website:</w:t>
      </w:r>
      <w:r>
        <w:rPr>
          <w:rFonts w:ascii="Arial" w:hAnsi="Arial" w:cs="Arial" w:eastAsia="Arial"/>
          <w:sz w:val="54"/>
        </w:rPr>
        <w:t xml:space="preserve"> [Insert website]</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0788622148.png"/>
            <wp:cNvGraphicFramePr/>
            <a:graphic xmlns:a="http://schemas.openxmlformats.org/drawingml/2006/main">
              <a:graphicData uri="http://schemas.openxmlformats.org/drawingml/2006/picture">
                <pic:pic xmlns:pic="http://schemas.openxmlformats.org/drawingml/2006/picture">
                  <pic:nvPicPr>
                    <pic:cNvPr id="27" name="Picture 27" descr="image1790788622148.png"/>
                    <pic:cNvPicPr>
                      <a:picLocks noChangeAspect="true"/>
                    </pic:cNvPicPr>
                  </pic:nvPicPr>
                  <pic:blipFill>
                    <a:blip r:embed="rId27"/>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b w:val="true"/>
          <w:sz w:val="54"/>
        </w:rPr>
        <w:t>For consultations, training programmes, investigations, corporate security assessments, due diligence, ADR, asset tracing, debt recovery and proposal development, contact Gyanbg Corporate Consult.</w:t>
      </w:r>
    </w:p>
    <w:p>
      <w:pPr>
        <w:spacing w:line="270" w:lineRule="auto" w:after="0" w:before="0"/>
        <w:ind w:right="0" w:left="0"/>
      </w:pPr>
      <w:r>
        <w:rPr>
          <w:rFonts w:ascii="Arial" w:hAnsi="Arial" w:cs="Arial" w:eastAsia="Arial"/>
          <w:b w:val="true"/>
          <w:sz w:val="54"/>
        </w:rPr>
        <w:t>Gyanbg Corporate Consult — Protecting Organisations. Managing Risk. Supporting Integrity.</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decimal"/>
      <w:lvlText w:val="%1."/>
      <w:rPr>
        <w:rFonts w:ascii="Arial" w:hAnsi="Arial"/>
        <w:sz w:val="54"/>
      </w:rPr>
    </w:lvl>
  </w:abstractNum>
  <w:abstractNum w:abstractNumId="1">
    <w:multiLevelType w:val="hybridMultilevel"/>
    <w:lvl>
      <w:start w:val="2"/>
      <w:numFmt w:val="decimal"/>
      <w:lvlText w:val="%1."/>
      <w:rPr>
        <w:rFonts w:ascii="Arial" w:hAnsi="Arial"/>
        <w:sz w:val="54"/>
      </w:rPr>
    </w:lvl>
  </w:abstractNum>
  <w:abstractNum w:abstractNumId="2">
    <w:multiLevelType w:val="hybridMultilevel"/>
    <w:lvl>
      <w:start w:val="2"/>
      <w:numFmt w:val="decimal"/>
      <w:lvlText w:val="%1."/>
      <w:rPr>
        <w:rFonts w:ascii="Arial" w:hAnsi="Arial"/>
        <w:sz w:val="54"/>
      </w:rPr>
    </w:lvl>
  </w:abstractNum>
  <w:abstractNum w:abstractNumId="3">
    <w:multiLevelType w:val="hybridMultilevel"/>
    <w:lvl>
      <w:start w:val="3"/>
      <w:numFmt w:val="decimal"/>
      <w:lvlText w:val="%1."/>
      <w:rPr>
        <w:rFonts w:ascii="Arial" w:hAnsi="Arial"/>
        <w:sz w:val="54"/>
      </w:rPr>
    </w:lvl>
  </w:abstractNum>
  <w:abstractNum w:abstractNumId="4">
    <w:multiLevelType w:val="hybridMultilevel"/>
    <w:lvl>
      <w:start w:val="4"/>
      <w:numFmt w:val="decimal"/>
      <w:lvlText w:val="%1."/>
      <w:rPr>
        <w:rFonts w:ascii="Arial" w:hAnsi="Arial"/>
        <w:sz w:val="54"/>
      </w:rPr>
    </w:lvl>
  </w:abstractNum>
  <w:abstractNum w:abstractNumId="5">
    <w:multiLevelType w:val="hybridMultilevel"/>
    <w:lvl>
      <w:start w:val="5"/>
      <w:numFmt w:val="decimal"/>
      <w:lvlText w:val="%1."/>
      <w:rPr>
        <w:rFonts w:ascii="Arial" w:hAnsi="Arial"/>
        <w:sz w:val="54"/>
      </w:rPr>
    </w:lvl>
  </w:abstractNum>
  <w:abstractNum w:abstractNumId="6">
    <w:multiLevelType w:val="hybridMultilevel"/>
    <w:lvl>
      <w:start w:val="6"/>
      <w:numFmt w:val="decimal"/>
      <w:lvlText w:val="%1."/>
      <w:rPr>
        <w:rFonts w:ascii="Arial" w:hAnsi="Arial"/>
        <w:sz w:val="54"/>
      </w:rPr>
    </w:lvl>
  </w:abstractNum>
  <w:abstractNum w:abstractNumId="7">
    <w:multiLevelType w:val="hybridMultilevel"/>
    <w:lvl>
      <w:start w:val="7"/>
      <w:numFmt w:val="decimal"/>
      <w:lvlText w:val="%1."/>
      <w:rPr>
        <w:rFonts w:ascii="Arial" w:hAnsi="Arial"/>
        <w:sz w:val="54"/>
      </w:rPr>
    </w:lvl>
  </w:abstractNum>
  <w:abstractNum w:abstractNumId="8">
    <w:multiLevelType w:val="hybridMultilevel"/>
    <w:lvl>
      <w:start w:val="8"/>
      <w:numFmt w:val="decimal"/>
      <w:lvlText w:val="%1."/>
      <w:rPr>
        <w:rFonts w:ascii="Arial" w:hAnsi="Arial"/>
        <w:sz w:val="54"/>
      </w:rPr>
    </w:lvl>
  </w:abstractNum>
  <w:abstractNum w:abstractNumId="9">
    <w:multiLevelType w:val="hybridMultilevel"/>
    <w:lvl>
      <w:start w:val="9"/>
      <w:numFmt w:val="decimal"/>
      <w:lvlText w:val="%1."/>
      <w:rPr>
        <w:rFonts w:ascii="Arial" w:hAnsi="Arial"/>
        <w:sz w:val="54"/>
      </w:rPr>
    </w:lvl>
  </w:abstractNum>
  <w:abstractNum w:abstractNumId="10">
    <w:multiLevelType w:val="hybridMultilevel"/>
    <w:lvl>
      <w:start w:val="10"/>
      <w:numFmt w:val="decimal"/>
      <w:lvlText w:val="%1."/>
      <w:rPr>
        <w:rFonts w:ascii="Arial" w:hAnsi="Arial"/>
        <w:sz w:val="54"/>
      </w:rPr>
    </w:lvl>
  </w:abstractNum>
  <w:abstractNum w:abstractNumId="11">
    <w:multiLevelType w:val="hybridMultilevel"/>
    <w:lvl>
      <w:start w:val="11"/>
      <w:numFmt w:val="decimal"/>
      <w:lvlText w:val="%1."/>
      <w:rPr>
        <w:rFonts w:ascii="Arial" w:hAnsi="Arial"/>
        <w:sz w:val="54"/>
      </w:rPr>
    </w:lvl>
  </w:abstractNum>
  <w:abstractNum w:abstractNumId="12">
    <w:multiLevelType w:val="hybridMultilevel"/>
    <w:lvl>
      <w:start w:val="12"/>
      <w:numFmt w:val="decimal"/>
      <w:lvlText w:val="%1."/>
      <w:rPr>
        <w:rFonts w:ascii="Arial" w:hAnsi="Arial"/>
        <w:sz w:val="54"/>
      </w:rPr>
    </w:lvl>
  </w:abstractNum>
  <w:abstractNum w:abstractNumId="13">
    <w:multiLevelType w:val="hybridMultilevel"/>
    <w:lvl>
      <w:start w:val="1"/>
      <w:numFmt w:val="bullet"/>
      <w:lvlText w:val="•"/>
      <w:rPr>
        <w:rFonts w:ascii="Arial" w:hAnsi="Arial"/>
        <w:sz w:val="54"/>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 Type="http://schemas.openxmlformats.org/officeDocument/2006/relationships/image" Target="media/image2.png"/><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 Id="rId24" Type="http://schemas.openxmlformats.org/officeDocument/2006/relationships/image" Target="media/image24.png"/><Relationship Id="rId25" Type="http://schemas.openxmlformats.org/officeDocument/2006/relationships/image" Target="media/image25.png"/><Relationship Id="rId26" Type="http://schemas.openxmlformats.org/officeDocument/2006/relationships/image" Target="media/image26.png"/><Relationship Id="rId27" Type="http://schemas.openxmlformats.org/officeDocument/2006/relationships/image" Target="media/image27.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numbering" Target="numbering.xml"/><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2026-09-30T17:17:01Z</dcterms:created>
  <dc:creator>Apache POI</dc:creator>
</cp:coreProperties>
</file>