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lineRule="auto"/>
        <w:jc w:val="both"/>
        <w:rPr>
          <w:rFonts w:ascii="Arial" w:cs="Arial" w:eastAsia="Arial" w:hAnsi="Arial"/>
          <w:b w:val="1"/>
          <w:sz w:val="22"/>
          <w:szCs w:val="22"/>
        </w:rPr>
      </w:pPr>
      <w:bookmarkStart w:colFirst="0" w:colLast="0" w:name="_heading=h.t99np8ps2kep" w:id="0"/>
      <w:bookmarkEnd w:id="0"/>
      <w:r w:rsidDel="00000000" w:rsidR="00000000" w:rsidRPr="00000000">
        <w:rPr>
          <w:rtl w:val="0"/>
        </w:rPr>
      </w:r>
    </w:p>
    <w:p w:rsidR="00000000" w:rsidDel="00000000" w:rsidP="00000000" w:rsidRDefault="00000000" w:rsidRPr="00000000" w14:paraId="00000002">
      <w:pPr>
        <w:spacing w:after="80" w:lineRule="auto"/>
        <w:jc w:val="both"/>
        <w:rPr>
          <w:rFonts w:ascii="Arial" w:cs="Arial" w:eastAsia="Arial" w:hAnsi="Arial"/>
          <w:sz w:val="22"/>
          <w:szCs w:val="22"/>
        </w:rPr>
      </w:pPr>
      <w:bookmarkStart w:colFirst="0" w:colLast="0" w:name="_heading=h.gjdgxs" w:id="1"/>
      <w:bookmarkEnd w:id="1"/>
      <w:r w:rsidDel="00000000" w:rsidR="00000000" w:rsidRPr="00000000">
        <w:rPr>
          <w:rFonts w:ascii="Arial" w:cs="Arial" w:eastAsia="Arial" w:hAnsi="Arial"/>
          <w:b w:val="1"/>
          <w:sz w:val="22"/>
          <w:szCs w:val="22"/>
          <w:rtl w:val="0"/>
        </w:rPr>
        <w:t xml:space="preserve">B. Studies and Results</w:t>
      </w:r>
      <w:r w:rsidDel="00000000" w:rsidR="00000000" w:rsidRPr="00000000">
        <w:rPr>
          <w:rtl w:val="0"/>
        </w:rPr>
      </w:r>
    </w:p>
    <w:p w:rsidR="00000000" w:rsidDel="00000000" w:rsidP="00000000" w:rsidRDefault="00000000" w:rsidRPr="00000000" w14:paraId="00000003">
      <w:pPr>
        <w:spacing w:after="80" w:lineRule="auto"/>
        <w:jc w:val="both"/>
        <w:rPr>
          <w:rFonts w:ascii="Arial" w:cs="Arial" w:eastAsia="Arial" w:hAnsi="Arial"/>
          <w:sz w:val="22"/>
          <w:szCs w:val="22"/>
        </w:rPr>
      </w:pPr>
      <w:bookmarkStart w:colFirst="0" w:colLast="0" w:name="_heading=h.g0qbbfljkq92" w:id="2"/>
      <w:bookmarkEnd w:id="2"/>
      <w:r w:rsidDel="00000000" w:rsidR="00000000" w:rsidRPr="00000000">
        <w:rPr>
          <w:rFonts w:ascii="Arial" w:cs="Arial" w:eastAsia="Arial" w:hAnsi="Arial"/>
          <w:sz w:val="22"/>
          <w:szCs w:val="22"/>
          <w:rtl w:val="0"/>
        </w:rPr>
        <w:t xml:space="preserve">The aim of the lead optimisation project this year has been to bring forward the MERS-CoV/SARS-CoV-2 Mpro protease inhibitor series to give two or more compounds meeting our Target Candidate Profile (TCP) to promote to pre-clinical studies (Project 6). </w:t>
      </w:r>
      <w:r w:rsidDel="00000000" w:rsidR="00000000" w:rsidRPr="00000000">
        <w:rPr>
          <w:rFonts w:ascii="Arial" w:cs="Arial" w:eastAsia="Arial" w:hAnsi="Arial"/>
          <w:b w:val="1"/>
          <w:sz w:val="22"/>
          <w:szCs w:val="22"/>
          <w:rtl w:val="0"/>
        </w:rPr>
        <w:t xml:space="preserve">We are close to achieving all of our TCP goals in one compound with high potency against both SARS-CoV-2 and MERS-CoV in cellular assays, with good mouse pharmacokinetics, an acceptable human predicted dose, and made in sufficient quantity to conduct MERS-CoV in vivo efficacy studies in April.</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4">
      <w:pPr>
        <w:spacing w:after="80" w:lineRule="auto"/>
        <w:jc w:val="both"/>
        <w:rPr>
          <w:rFonts w:ascii="Arial" w:cs="Arial" w:eastAsia="Arial" w:hAnsi="Arial"/>
          <w:sz w:val="22"/>
          <w:szCs w:val="22"/>
        </w:rPr>
      </w:pPr>
      <w:bookmarkStart w:colFirst="0" w:colLast="0" w:name="_heading=h.gtfukxaw66qx" w:id="3"/>
      <w:bookmarkEnd w:id="3"/>
      <w:r w:rsidDel="00000000" w:rsidR="00000000" w:rsidRPr="00000000">
        <w:rPr>
          <w:rFonts w:ascii="Arial" w:cs="Arial" w:eastAsia="Arial" w:hAnsi="Arial"/>
          <w:sz w:val="22"/>
          <w:szCs w:val="22"/>
          <w:rtl w:val="0"/>
        </w:rPr>
        <w:t xml:space="preserve">Further compounds in the series are being profiled as structurally dissimilar back up compounds.</w:t>
      </w:r>
    </w:p>
    <w:p w:rsidR="00000000" w:rsidDel="00000000" w:rsidP="00000000" w:rsidRDefault="00000000" w:rsidRPr="00000000" w14:paraId="00000005">
      <w:pPr>
        <w:spacing w:after="80" w:lineRule="auto"/>
        <w:jc w:val="both"/>
        <w:rPr>
          <w:rFonts w:ascii="Arial" w:cs="Arial" w:eastAsia="Arial" w:hAnsi="Arial"/>
          <w:sz w:val="22"/>
          <w:szCs w:val="22"/>
        </w:rPr>
      </w:pPr>
      <w:bookmarkStart w:colFirst="0" w:colLast="0" w:name="_heading=h.kupsvy3es0lx" w:id="4"/>
      <w:bookmarkEnd w:id="4"/>
      <w:r w:rsidDel="00000000" w:rsidR="00000000" w:rsidRPr="00000000">
        <w:rPr>
          <w:rFonts w:ascii="Arial" w:cs="Arial" w:eastAsia="Arial" w:hAnsi="Arial"/>
          <w:sz w:val="22"/>
          <w:szCs w:val="22"/>
        </w:rPr>
        <w:drawing>
          <wp:inline distB="114300" distT="114300" distL="114300" distR="114300">
            <wp:extent cx="6858000" cy="38608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80" w:lineRule="auto"/>
        <w:jc w:val="both"/>
        <w:rPr>
          <w:rFonts w:ascii="Arial" w:cs="Arial" w:eastAsia="Arial" w:hAnsi="Arial"/>
          <w:sz w:val="22"/>
          <w:szCs w:val="22"/>
        </w:rPr>
      </w:pPr>
      <w:bookmarkStart w:colFirst="0" w:colLast="0" w:name="_heading=h.j6pofpg2xf8n" w:id="5"/>
      <w:bookmarkEnd w:id="5"/>
      <w:r w:rsidDel="00000000" w:rsidR="00000000" w:rsidRPr="00000000">
        <w:rPr>
          <w:rtl w:val="0"/>
        </w:rPr>
      </w:r>
    </w:p>
    <w:p w:rsidR="00000000" w:rsidDel="00000000" w:rsidP="00000000" w:rsidRDefault="00000000" w:rsidRPr="00000000" w14:paraId="00000007">
      <w:pPr>
        <w:spacing w:after="80" w:lineRule="auto"/>
        <w:jc w:val="both"/>
        <w:rPr>
          <w:rFonts w:ascii="Arial" w:cs="Arial" w:eastAsia="Arial" w:hAnsi="Arial"/>
          <w:sz w:val="22"/>
          <w:szCs w:val="22"/>
        </w:rPr>
      </w:pPr>
      <w:bookmarkStart w:colFirst="0" w:colLast="0" w:name="_heading=h.a1iifcw5ln8i" w:id="6"/>
      <w:bookmarkEnd w:id="6"/>
      <w:r w:rsidDel="00000000" w:rsidR="00000000" w:rsidRPr="00000000">
        <w:rPr>
          <w:rFonts w:ascii="Arial" w:cs="Arial" w:eastAsia="Arial" w:hAnsi="Arial"/>
          <w:sz w:val="22"/>
          <w:szCs w:val="22"/>
        </w:rPr>
        <w:drawing>
          <wp:inline distB="114300" distT="114300" distL="114300" distR="114300">
            <wp:extent cx="6858000" cy="3860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80" w:lineRule="auto"/>
        <w:jc w:val="both"/>
        <w:rPr>
          <w:rFonts w:ascii="Arial" w:cs="Arial" w:eastAsia="Arial" w:hAnsi="Arial"/>
          <w:sz w:val="22"/>
          <w:szCs w:val="22"/>
        </w:rPr>
      </w:pPr>
      <w:bookmarkStart w:colFirst="0" w:colLast="0" w:name="_heading=h.si7kwigpculh" w:id="7"/>
      <w:bookmarkEnd w:id="7"/>
      <w:r w:rsidDel="00000000" w:rsidR="00000000" w:rsidRPr="00000000">
        <w:rPr>
          <w:rFonts w:ascii="Arial" w:cs="Arial" w:eastAsia="Arial" w:hAnsi="Arial"/>
          <w:sz w:val="22"/>
          <w:szCs w:val="22"/>
          <w:rtl w:val="0"/>
        </w:rPr>
        <w:t xml:space="preserve">While our non-peptidomimetic, non-covalent Mpro inhibitor series showed good potency against SARS-CoV-2 Mpro, the MERS-CoV Mpro enzyme is more difficult to assay and was much harder to develop a robust protein-ligand crystallography system. This caused some difficulty in rapidly achieving good MERS-CoV Mpro inhibition. Through the </w:t>
      </w:r>
      <w:r w:rsidDel="00000000" w:rsidR="00000000" w:rsidRPr="00000000">
        <w:rPr>
          <w:rFonts w:ascii="Arial" w:cs="Arial" w:eastAsia="Arial" w:hAnsi="Arial"/>
          <w:b w:val="1"/>
          <w:sz w:val="22"/>
          <w:szCs w:val="22"/>
          <w:rtl w:val="0"/>
        </w:rPr>
        <w:t xml:space="preserve">Structural Biology Core’</w:t>
      </w:r>
      <w:r w:rsidDel="00000000" w:rsidR="00000000" w:rsidRPr="00000000">
        <w:rPr>
          <w:rFonts w:ascii="Arial" w:cs="Arial" w:eastAsia="Arial" w:hAnsi="Arial"/>
          <w:sz w:val="22"/>
          <w:szCs w:val="22"/>
          <w:rtl w:val="0"/>
        </w:rPr>
        <w:t xml:space="preserve">s efforts—in particular, access to the high throughput crystallization systems—we were able to generate more than 140 MERS-XoC Mpro crystal structures, giving unprecedented understanding of the difference between SARS-CoV-2 and MERS-CoV active sites. The </w:t>
      </w:r>
      <w:r w:rsidDel="00000000" w:rsidR="00000000" w:rsidRPr="00000000">
        <w:rPr>
          <w:rFonts w:ascii="Arial" w:cs="Arial" w:eastAsia="Arial" w:hAnsi="Arial"/>
          <w:b w:val="1"/>
          <w:sz w:val="22"/>
          <w:szCs w:val="22"/>
          <w:rtl w:val="0"/>
        </w:rPr>
        <w:t xml:space="preserve">Biochemical Assay Core</w:t>
      </w:r>
      <w:r w:rsidDel="00000000" w:rsidR="00000000" w:rsidRPr="00000000">
        <w:rPr>
          <w:rFonts w:ascii="Arial" w:cs="Arial" w:eastAsia="Arial" w:hAnsi="Arial"/>
          <w:sz w:val="22"/>
          <w:szCs w:val="22"/>
          <w:rtl w:val="0"/>
        </w:rPr>
        <w:t xml:space="preserve"> was able to analyze the enzyme kinetics of MERS-CoV MP=pro and establish that our assay system was generating relevant results, which have been used in parallel testing to the SARS-CoV-2 Mpro enzyme assay to establish SAR. Close collaboration between the </w:t>
      </w:r>
      <w:r w:rsidDel="00000000" w:rsidR="00000000" w:rsidRPr="00000000">
        <w:rPr>
          <w:rFonts w:ascii="Arial" w:cs="Arial" w:eastAsia="Arial" w:hAnsi="Arial"/>
          <w:b w:val="1"/>
          <w:sz w:val="22"/>
          <w:szCs w:val="22"/>
          <w:rtl w:val="0"/>
        </w:rPr>
        <w:t xml:space="preserve">Structural Biology Core</w:t>
      </w:r>
      <w:r w:rsidDel="00000000" w:rsidR="00000000" w:rsidRPr="00000000">
        <w:rPr>
          <w:rFonts w:ascii="Arial" w:cs="Arial" w:eastAsia="Arial" w:hAnsi="Arial"/>
          <w:sz w:val="22"/>
          <w:szCs w:val="22"/>
          <w:rtl w:val="0"/>
        </w:rPr>
        <w:t xml:space="preserve">, the </w:t>
      </w:r>
      <w:r w:rsidDel="00000000" w:rsidR="00000000" w:rsidRPr="00000000">
        <w:rPr>
          <w:rFonts w:ascii="Arial" w:cs="Arial" w:eastAsia="Arial" w:hAnsi="Arial"/>
          <w:b w:val="1"/>
          <w:sz w:val="22"/>
          <w:szCs w:val="22"/>
          <w:rtl w:val="0"/>
        </w:rPr>
        <w:t xml:space="preserve">Covalent Project 4, </w:t>
      </w:r>
      <w:r w:rsidDel="00000000" w:rsidR="00000000" w:rsidRPr="00000000">
        <w:rPr>
          <w:rFonts w:ascii="Arial" w:cs="Arial" w:eastAsia="Arial" w:hAnsi="Arial"/>
          <w:sz w:val="22"/>
          <w:szCs w:val="22"/>
          <w:rtl w:val="0"/>
        </w:rPr>
        <w:t xml:space="preserve">and ourselves enabled us to discover that a compound initially believed to be covalent was actually more potent in MERS-CoV Mpro due to binding in the P1’ sub-pocket.  Exploiting this knowledge has led to extremely potent SARS-CoV-2 Mpro inhibition (single digit nM IC50s) simultaneously with good (low double digit) MERS-CoV Mpro inhibition.</w:t>
      </w:r>
    </w:p>
    <w:p w:rsidR="00000000" w:rsidDel="00000000" w:rsidP="00000000" w:rsidRDefault="00000000" w:rsidRPr="00000000" w14:paraId="00000009">
      <w:pPr>
        <w:spacing w:after="80" w:lineRule="auto"/>
        <w:jc w:val="both"/>
        <w:rPr>
          <w:rFonts w:ascii="Arial" w:cs="Arial" w:eastAsia="Arial" w:hAnsi="Arial"/>
          <w:sz w:val="22"/>
          <w:szCs w:val="22"/>
        </w:rPr>
      </w:pPr>
      <w:bookmarkStart w:colFirst="0" w:colLast="0" w:name="_heading=h.htk8k6lf6cln" w:id="8"/>
      <w:bookmarkEnd w:id="8"/>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A">
      <w:pPr>
        <w:spacing w:after="80" w:lineRule="auto"/>
        <w:jc w:val="both"/>
        <w:rPr>
          <w:rFonts w:ascii="Arial" w:cs="Arial" w:eastAsia="Arial" w:hAnsi="Arial"/>
          <w:sz w:val="22"/>
          <w:szCs w:val="22"/>
        </w:rPr>
      </w:pPr>
      <w:bookmarkStart w:colFirst="0" w:colLast="0" w:name="_heading=h.wkmorunayryf" w:id="9"/>
      <w:bookmarkEnd w:id="9"/>
      <w:r w:rsidDel="00000000" w:rsidR="00000000" w:rsidRPr="00000000">
        <w:rPr>
          <w:rFonts w:ascii="Arial" w:cs="Arial" w:eastAsia="Arial" w:hAnsi="Arial"/>
          <w:sz w:val="22"/>
          <w:szCs w:val="22"/>
        </w:rPr>
        <w:drawing>
          <wp:inline distB="114300" distT="114300" distL="114300" distR="114300">
            <wp:extent cx="6858000" cy="3411855"/>
            <wp:effectExtent b="0" l="0" r="0" t="0"/>
            <wp:docPr id="4" name="image5.png"/>
            <a:graphic>
              <a:graphicData uri="http://schemas.openxmlformats.org/drawingml/2006/picture">
                <pic:pic>
                  <pic:nvPicPr>
                    <pic:cNvPr id="0" name="image5.png"/>
                    <pic:cNvPicPr preferRelativeResize="0"/>
                  </pic:nvPicPr>
                  <pic:blipFill>
                    <a:blip r:embed="rId9"/>
                    <a:srcRect b="11555" l="0" r="0" t="0"/>
                    <a:stretch>
                      <a:fillRect/>
                    </a:stretch>
                  </pic:blipFill>
                  <pic:spPr>
                    <a:xfrm>
                      <a:off x="0" y="0"/>
                      <a:ext cx="6858000" cy="341185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80" w:lineRule="auto"/>
        <w:jc w:val="both"/>
        <w:rPr>
          <w:rFonts w:ascii="Arial" w:cs="Arial" w:eastAsia="Arial" w:hAnsi="Arial"/>
          <w:sz w:val="22"/>
          <w:szCs w:val="22"/>
        </w:rPr>
      </w:pPr>
      <w:bookmarkStart w:colFirst="0" w:colLast="0" w:name="_heading=h.6cidpg4wf7ug" w:id="10"/>
      <w:bookmarkEnd w:id="10"/>
      <w:r w:rsidDel="00000000" w:rsidR="00000000" w:rsidRPr="00000000">
        <w:rPr>
          <w:rtl w:val="0"/>
        </w:rPr>
      </w:r>
    </w:p>
    <w:p w:rsidR="00000000" w:rsidDel="00000000" w:rsidP="00000000" w:rsidRDefault="00000000" w:rsidRPr="00000000" w14:paraId="0000000C">
      <w:pPr>
        <w:spacing w:after="80" w:lineRule="auto"/>
        <w:jc w:val="both"/>
        <w:rPr>
          <w:rFonts w:ascii="Arial" w:cs="Arial" w:eastAsia="Arial" w:hAnsi="Arial"/>
          <w:sz w:val="22"/>
          <w:szCs w:val="22"/>
        </w:rPr>
      </w:pPr>
      <w:bookmarkStart w:colFirst="0" w:colLast="0" w:name="_heading=h.mwzovup0ir4h" w:id="11"/>
      <w:bookmarkEnd w:id="11"/>
      <w:r w:rsidDel="00000000" w:rsidR="00000000" w:rsidRPr="00000000">
        <w:rPr>
          <w:rFonts w:ascii="Arial" w:cs="Arial" w:eastAsia="Arial" w:hAnsi="Arial"/>
          <w:sz w:val="22"/>
          <w:szCs w:val="22"/>
          <w:rtl w:val="0"/>
        </w:rPr>
        <w:t xml:space="preserve">Testing these compounds with the </w:t>
      </w:r>
      <w:r w:rsidDel="00000000" w:rsidR="00000000" w:rsidRPr="00000000">
        <w:rPr>
          <w:rFonts w:ascii="Arial" w:cs="Arial" w:eastAsia="Arial" w:hAnsi="Arial"/>
          <w:b w:val="1"/>
          <w:sz w:val="22"/>
          <w:szCs w:val="22"/>
          <w:rtl w:val="0"/>
        </w:rPr>
        <w:t xml:space="preserve">Antiviral Core’s</w:t>
      </w:r>
      <w:r w:rsidDel="00000000" w:rsidR="00000000" w:rsidRPr="00000000">
        <w:rPr>
          <w:rFonts w:ascii="Arial" w:cs="Arial" w:eastAsia="Arial" w:hAnsi="Arial"/>
          <w:sz w:val="22"/>
          <w:szCs w:val="22"/>
          <w:rtl w:val="0"/>
        </w:rPr>
        <w:t xml:space="preserve"> HeLa SARS-CoV-2 cell assays showed the compounds are extremely potent cellular inhibitors. Initial delays with the MERS-CoV antiviral testing infrastructure resulted in us generating MERS-CoV cellular data through collaboration with both the MAVDA AViDD Center and NIAID Preclinical Services (PCS), which introduced delays. As soon as the </w:t>
      </w:r>
      <w:r w:rsidDel="00000000" w:rsidR="00000000" w:rsidRPr="00000000">
        <w:rPr>
          <w:rFonts w:ascii="Arial" w:cs="Arial" w:eastAsia="Arial" w:hAnsi="Arial"/>
          <w:b w:val="1"/>
          <w:sz w:val="22"/>
          <w:szCs w:val="22"/>
          <w:rtl w:val="0"/>
        </w:rPr>
        <w:t xml:space="preserve">Antiviral Core</w:t>
      </w:r>
      <w:r w:rsidDel="00000000" w:rsidR="00000000" w:rsidRPr="00000000">
        <w:rPr>
          <w:rFonts w:ascii="Arial" w:cs="Arial" w:eastAsia="Arial" w:hAnsi="Arial"/>
          <w:sz w:val="22"/>
          <w:szCs w:val="22"/>
          <w:rtl w:val="0"/>
        </w:rPr>
        <w:t xml:space="preserve"> MERS in vitro cellular antiviral activity assay infrastructure came online, we were able to confirm consistent results across all three testing locations for our series and fully support optimisation of the lead compounds. These data confirmed that the unusual enzyme kinetics displayed by MERS-CoV Mpro results in minimal dropoff between enzyme and cell systems, giving compounds with low double digit cellular EC50’s in the MERS-CoV Vero TMPRSS2 system and thus delivering the required TCP potency against cellular assays.</w:t>
      </w:r>
    </w:p>
    <w:p w:rsidR="00000000" w:rsidDel="00000000" w:rsidP="00000000" w:rsidRDefault="00000000" w:rsidRPr="00000000" w14:paraId="0000000D">
      <w:pPr>
        <w:spacing w:after="80" w:lineRule="auto"/>
        <w:jc w:val="both"/>
        <w:rPr>
          <w:rFonts w:ascii="Arial" w:cs="Arial" w:eastAsia="Arial" w:hAnsi="Arial"/>
          <w:sz w:val="22"/>
          <w:szCs w:val="22"/>
        </w:rPr>
      </w:pPr>
      <w:bookmarkStart w:colFirst="0" w:colLast="0" w:name="_heading=h.8ddlz04e7jqc" w:id="12"/>
      <w:bookmarkEnd w:id="12"/>
      <w:r w:rsidDel="00000000" w:rsidR="00000000" w:rsidRPr="00000000">
        <w:rPr>
          <w:rFonts w:ascii="Arial" w:cs="Arial" w:eastAsia="Arial" w:hAnsi="Arial"/>
          <w:sz w:val="22"/>
          <w:szCs w:val="22"/>
          <w:rtl w:val="0"/>
        </w:rPr>
        <w:t xml:space="preserve">The series has generally low serum protein binding across species, which provides a benefit in having relatively high free drug levels but a challenge to optimize unbound clearance and therefore achieve our pharmacodynamic target of maintaining free drug levels in excess of the free drug EC90 for the duration of dosing. In parallel to screening in the Mpro enzyme assays we have screened against in vitro ADMET assays: mouse and human liver microsomes, an MDCK-MDR1 Apical to Basal permeability assay, kinetic solubility, and logD. We have been able to establish good targets for permeability and enzyme activity to prioritize compounds for the cellular assays and a relationship between the mouse liver microsome assay and in vivo murine clearance. Through the use of AI / machine learning methods developed with </w:t>
      </w:r>
      <w:r w:rsidDel="00000000" w:rsidR="00000000" w:rsidRPr="00000000">
        <w:rPr>
          <w:rFonts w:ascii="Arial" w:cs="Arial" w:eastAsia="Arial" w:hAnsi="Arial"/>
          <w:b w:val="1"/>
          <w:sz w:val="22"/>
          <w:szCs w:val="22"/>
          <w:rtl w:val="0"/>
        </w:rPr>
        <w:t xml:space="preserve">MedChemica,</w:t>
      </w:r>
      <w:r w:rsidDel="00000000" w:rsidR="00000000" w:rsidRPr="00000000">
        <w:rPr>
          <w:rFonts w:ascii="Arial" w:cs="Arial" w:eastAsia="Arial" w:hAnsi="Arial"/>
          <w:sz w:val="22"/>
          <w:szCs w:val="22"/>
          <w:rtl w:val="0"/>
        </w:rPr>
        <w:t xml:space="preserve"> we have been able to conduct multi parameter optimisation and applied FEP methods with the </w:t>
      </w:r>
      <w:r w:rsidDel="00000000" w:rsidR="00000000" w:rsidRPr="00000000">
        <w:rPr>
          <w:rFonts w:ascii="Arial" w:cs="Arial" w:eastAsia="Arial" w:hAnsi="Arial"/>
          <w:b w:val="1"/>
          <w:sz w:val="22"/>
          <w:szCs w:val="22"/>
          <w:rtl w:val="0"/>
        </w:rPr>
        <w:t xml:space="preserve">Chodera group</w:t>
      </w:r>
      <w:r w:rsidDel="00000000" w:rsidR="00000000" w:rsidRPr="00000000">
        <w:rPr>
          <w:rFonts w:ascii="Arial" w:cs="Arial" w:eastAsia="Arial" w:hAnsi="Arial"/>
          <w:sz w:val="22"/>
          <w:szCs w:val="22"/>
          <w:rtl w:val="0"/>
        </w:rPr>
        <w:t xml:space="preserve"> to understand where to prioritize chemical synthesis. </w:t>
      </w:r>
    </w:p>
    <w:p w:rsidR="00000000" w:rsidDel="00000000" w:rsidP="00000000" w:rsidRDefault="00000000" w:rsidRPr="00000000" w14:paraId="0000000E">
      <w:pPr>
        <w:spacing w:after="80" w:lineRule="auto"/>
        <w:jc w:val="both"/>
        <w:rPr>
          <w:rFonts w:ascii="Arial" w:cs="Arial" w:eastAsia="Arial" w:hAnsi="Arial"/>
          <w:sz w:val="22"/>
          <w:szCs w:val="22"/>
        </w:rPr>
      </w:pPr>
      <w:bookmarkStart w:colFirst="0" w:colLast="0" w:name="_heading=h.ydnchxvogyhw" w:id="13"/>
      <w:bookmarkEnd w:id="13"/>
      <w:r w:rsidDel="00000000" w:rsidR="00000000" w:rsidRPr="00000000">
        <w:rPr>
          <w:rFonts w:ascii="Arial" w:cs="Arial" w:eastAsia="Arial" w:hAnsi="Arial"/>
          <w:sz w:val="22"/>
          <w:szCs w:val="22"/>
          <w:rtl w:val="0"/>
        </w:rPr>
        <w:t xml:space="preserve">Our most promising compounds were initially screened in a mouse iv cassette pharmacokinetic system which confirmed that clearance is mainly driven through hepatic metabolism. Later compounds have been profiled in both mouse iv an po studies to establish bioavailability. The majority of compounds show much higher metabolic stability in human liver microsomes and hepatocytes than mouse liver microsomes and hepatocytes. In order to ensure that we could conduct efficacy studies in mouse we profiled compounds in the leading 8HUM humanized mouse system (where 32 mouse liver metabolic enzymes are replaced with 8 human liver enzymes) and showed that our lead compounds have very low clearance in 8HUM mouse microsomes, mirroring the human data. For our lead compound ASAP-0016506 we have in progress the mouse 8HUM iv and po pharmacokinetic studies to support MERS efficacy studies. In parallel, we conducted ascending dose pharmacokinetic studies in mouse at 100, 300 and 450 mg/kg BID. At these doses, we observed saturation of clearance resulting in excellent cover over the FCS serum corrected MERS-CoV EC90 (36nM) giving the opportunity to use high doses in WT mouse for the MERS-CoV in vivo efficacy studies if the 8HUM system proves problematic. </w:t>
      </w:r>
    </w:p>
    <w:p w:rsidR="00000000" w:rsidDel="00000000" w:rsidP="00000000" w:rsidRDefault="00000000" w:rsidRPr="00000000" w14:paraId="0000000F">
      <w:pPr>
        <w:spacing w:after="80" w:lineRule="auto"/>
        <w:jc w:val="both"/>
        <w:rPr>
          <w:rFonts w:ascii="Arial" w:cs="Arial" w:eastAsia="Arial" w:hAnsi="Arial"/>
          <w:sz w:val="22"/>
          <w:szCs w:val="22"/>
        </w:rPr>
      </w:pPr>
      <w:bookmarkStart w:colFirst="0" w:colLast="0" w:name="_heading=h.gnz8cy12qoz8" w:id="14"/>
      <w:bookmarkEnd w:id="14"/>
      <w:r w:rsidDel="00000000" w:rsidR="00000000" w:rsidRPr="00000000">
        <w:rPr>
          <w:rtl w:val="0"/>
        </w:rPr>
      </w:r>
    </w:p>
    <w:p w:rsidR="00000000" w:rsidDel="00000000" w:rsidP="00000000" w:rsidRDefault="00000000" w:rsidRPr="00000000" w14:paraId="00000010">
      <w:pPr>
        <w:spacing w:after="80" w:lineRule="auto"/>
        <w:jc w:val="both"/>
        <w:rPr>
          <w:rFonts w:ascii="Arial" w:cs="Arial" w:eastAsia="Arial" w:hAnsi="Arial"/>
          <w:sz w:val="22"/>
          <w:szCs w:val="22"/>
        </w:rPr>
      </w:pPr>
      <w:bookmarkStart w:colFirst="0" w:colLast="0" w:name="_heading=h.bk2nnzwg4bgr" w:id="15"/>
      <w:bookmarkEnd w:id="15"/>
      <w:r w:rsidDel="00000000" w:rsidR="00000000" w:rsidRPr="00000000">
        <w:rPr>
          <w:rFonts w:ascii="Arial" w:cs="Arial" w:eastAsia="Arial" w:hAnsi="Arial"/>
          <w:sz w:val="22"/>
          <w:szCs w:val="22"/>
        </w:rPr>
        <w:drawing>
          <wp:inline distB="114300" distT="114300" distL="114300" distR="114300">
            <wp:extent cx="3771900" cy="199072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719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80" w:lineRule="auto"/>
        <w:jc w:val="both"/>
        <w:rPr>
          <w:rFonts w:ascii="Arial" w:cs="Arial" w:eastAsia="Arial" w:hAnsi="Arial"/>
          <w:sz w:val="22"/>
          <w:szCs w:val="22"/>
        </w:rPr>
      </w:pPr>
      <w:bookmarkStart w:colFirst="0" w:colLast="0" w:name="_heading=h.lrism4w81uw" w:id="16"/>
      <w:bookmarkEnd w:id="16"/>
      <w:r w:rsidDel="00000000" w:rsidR="00000000" w:rsidRPr="00000000">
        <w:rPr>
          <w:rtl w:val="0"/>
        </w:rPr>
      </w:r>
    </w:p>
    <w:p w:rsidR="00000000" w:rsidDel="00000000" w:rsidP="00000000" w:rsidRDefault="00000000" w:rsidRPr="00000000" w14:paraId="00000012">
      <w:pPr>
        <w:spacing w:after="80" w:lineRule="auto"/>
        <w:jc w:val="both"/>
        <w:rPr>
          <w:rFonts w:ascii="Arial" w:cs="Arial" w:eastAsia="Arial" w:hAnsi="Arial"/>
          <w:sz w:val="22"/>
          <w:szCs w:val="22"/>
        </w:rPr>
      </w:pPr>
      <w:bookmarkStart w:colFirst="0" w:colLast="0" w:name="_heading=h.szk710vd8ye8" w:id="17"/>
      <w:bookmarkEnd w:id="17"/>
      <w:r w:rsidDel="00000000" w:rsidR="00000000" w:rsidRPr="00000000">
        <w:rPr>
          <w:rFonts w:ascii="Arial" w:cs="Arial" w:eastAsia="Arial" w:hAnsi="Arial"/>
          <w:sz w:val="22"/>
          <w:szCs w:val="22"/>
          <w:rtl w:val="0"/>
        </w:rPr>
        <w:t xml:space="preserve">The synthesis of our lead series has received some optimisation with a common intermediate being available in &gt;20 g batches as a single diastereomer. Collaboration with the </w:t>
      </w:r>
      <w:r w:rsidDel="00000000" w:rsidR="00000000" w:rsidRPr="00000000">
        <w:rPr>
          <w:rFonts w:ascii="Arial" w:cs="Arial" w:eastAsia="Arial" w:hAnsi="Arial"/>
          <w:b w:val="1"/>
          <w:sz w:val="22"/>
          <w:szCs w:val="22"/>
          <w:rtl w:val="0"/>
        </w:rPr>
        <w:t xml:space="preserve">Preclinical Development (Project 6)</w:t>
      </w:r>
      <w:r w:rsidDel="00000000" w:rsidR="00000000" w:rsidRPr="00000000">
        <w:rPr>
          <w:rFonts w:ascii="Arial" w:cs="Arial" w:eastAsia="Arial" w:hAnsi="Arial"/>
          <w:sz w:val="22"/>
          <w:szCs w:val="22"/>
          <w:rtl w:val="0"/>
        </w:rPr>
        <w:t xml:space="preserve"> has resulted in us initiating process development on the common late stage intermediate in advance of final compound selection. </w:t>
      </w:r>
    </w:p>
    <w:p w:rsidR="00000000" w:rsidDel="00000000" w:rsidP="00000000" w:rsidRDefault="00000000" w:rsidRPr="00000000" w14:paraId="00000013">
      <w:pPr>
        <w:spacing w:after="80" w:lineRule="auto"/>
        <w:jc w:val="both"/>
        <w:rPr>
          <w:rFonts w:ascii="Arial" w:cs="Arial" w:eastAsia="Arial" w:hAnsi="Arial"/>
          <w:sz w:val="22"/>
          <w:szCs w:val="22"/>
        </w:rPr>
      </w:pPr>
      <w:bookmarkStart w:colFirst="0" w:colLast="0" w:name="_heading=h.w4vjogjjuthp" w:id="18"/>
      <w:bookmarkEnd w:id="18"/>
      <w:r w:rsidDel="00000000" w:rsidR="00000000" w:rsidRPr="00000000">
        <w:rPr>
          <w:rFonts w:ascii="Arial" w:cs="Arial" w:eastAsia="Arial" w:hAnsi="Arial"/>
          <w:sz w:val="22"/>
          <w:szCs w:val="22"/>
        </w:rPr>
        <w:drawing>
          <wp:inline distB="114300" distT="114300" distL="114300" distR="114300">
            <wp:extent cx="6858000" cy="40640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58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80" w:lineRule="auto"/>
        <w:jc w:val="both"/>
        <w:rPr>
          <w:rFonts w:ascii="Arial" w:cs="Arial" w:eastAsia="Arial" w:hAnsi="Arial"/>
          <w:i w:val="1"/>
          <w:sz w:val="18"/>
          <w:szCs w:val="18"/>
        </w:rPr>
      </w:pPr>
      <w:bookmarkStart w:colFirst="0" w:colLast="0" w:name="_heading=h.fhz1guk5uwns" w:id="19"/>
      <w:bookmarkEnd w:id="19"/>
      <w:r w:rsidDel="00000000" w:rsidR="00000000" w:rsidRPr="00000000">
        <w:rPr>
          <w:rFonts w:ascii="Arial" w:cs="Arial" w:eastAsia="Arial" w:hAnsi="Arial"/>
          <w:b w:val="1"/>
          <w:i w:val="1"/>
          <w:sz w:val="18"/>
          <w:szCs w:val="18"/>
          <w:rtl w:val="0"/>
        </w:rPr>
        <w:t xml:space="preserve">Figure X:</w:t>
      </w:r>
      <w:r w:rsidDel="00000000" w:rsidR="00000000" w:rsidRPr="00000000">
        <w:rPr>
          <w:rFonts w:ascii="Arial" w:cs="Arial" w:eastAsia="Arial" w:hAnsi="Arial"/>
          <w:i w:val="1"/>
          <w:sz w:val="18"/>
          <w:szCs w:val="18"/>
          <w:rtl w:val="0"/>
        </w:rPr>
        <w:t xml:space="preserve"> Medicinal chemistry route currently in early process research and development for a flexible diastereomericaly pure intermediate (</w:t>
      </w:r>
      <w:r w:rsidDel="00000000" w:rsidR="00000000" w:rsidRPr="00000000">
        <w:rPr>
          <w:rFonts w:ascii="Arial" w:cs="Arial" w:eastAsia="Arial" w:hAnsi="Arial"/>
          <w:b w:val="1"/>
          <w:i w:val="1"/>
          <w:sz w:val="18"/>
          <w:szCs w:val="18"/>
          <w:rtl w:val="0"/>
        </w:rPr>
        <w:t xml:space="preserve">S,R</w:t>
      </w:r>
      <w:r w:rsidDel="00000000" w:rsidR="00000000" w:rsidRPr="00000000">
        <w:rPr>
          <w:rFonts w:ascii="Arial" w:cs="Arial" w:eastAsia="Arial" w:hAnsi="Arial"/>
          <w:i w:val="1"/>
          <w:sz w:val="18"/>
          <w:szCs w:val="18"/>
          <w:rtl w:val="0"/>
        </w:rPr>
        <w:t xml:space="preserve"> </w:t>
      </w:r>
      <w:r w:rsidDel="00000000" w:rsidR="00000000" w:rsidRPr="00000000">
        <w:rPr>
          <w:rFonts w:ascii="Arial" w:cs="Arial" w:eastAsia="Arial" w:hAnsi="Arial"/>
          <w:b w:val="1"/>
          <w:i w:val="1"/>
          <w:sz w:val="18"/>
          <w:szCs w:val="18"/>
          <w:rtl w:val="0"/>
        </w:rPr>
        <w:t xml:space="preserve">13</w:t>
      </w:r>
      <w:r w:rsidDel="00000000" w:rsidR="00000000" w:rsidRPr="00000000">
        <w:rPr>
          <w:rFonts w:ascii="Arial" w:cs="Arial" w:eastAsia="Arial" w:hAnsi="Arial"/>
          <w:i w:val="1"/>
          <w:sz w:val="18"/>
          <w:szCs w:val="18"/>
          <w:rtl w:val="0"/>
        </w:rPr>
        <w:t xml:space="preserve">).</w:t>
      </w:r>
    </w:p>
    <w:p w:rsidR="00000000" w:rsidDel="00000000" w:rsidP="00000000" w:rsidRDefault="00000000" w:rsidRPr="00000000" w14:paraId="00000015">
      <w:pPr>
        <w:spacing w:after="80" w:lineRule="auto"/>
        <w:jc w:val="both"/>
        <w:rPr>
          <w:rFonts w:ascii="Arial" w:cs="Arial" w:eastAsia="Arial" w:hAnsi="Arial"/>
          <w:sz w:val="22"/>
          <w:szCs w:val="22"/>
        </w:rPr>
      </w:pPr>
      <w:bookmarkStart w:colFirst="0" w:colLast="0" w:name="_heading=h.kgadoo52epnd" w:id="20"/>
      <w:bookmarkEnd w:id="20"/>
      <w:r w:rsidDel="00000000" w:rsidR="00000000" w:rsidRPr="00000000">
        <w:rPr>
          <w:rFonts w:ascii="Arial" w:cs="Arial" w:eastAsia="Arial" w:hAnsi="Arial"/>
          <w:sz w:val="22"/>
          <w:szCs w:val="22"/>
        </w:rPr>
        <w:drawing>
          <wp:inline distB="114300" distT="114300" distL="114300" distR="114300">
            <wp:extent cx="6858000" cy="1316355"/>
            <wp:effectExtent b="0" l="0" r="0" t="0"/>
            <wp:docPr id="6" name="image4.png"/>
            <a:graphic>
              <a:graphicData uri="http://schemas.openxmlformats.org/drawingml/2006/picture">
                <pic:pic>
                  <pic:nvPicPr>
                    <pic:cNvPr id="0" name="image4.png"/>
                    <pic:cNvPicPr preferRelativeResize="0"/>
                  </pic:nvPicPr>
                  <pic:blipFill>
                    <a:blip r:embed="rId12"/>
                    <a:srcRect b="68590" l="0" r="0" t="0"/>
                    <a:stretch>
                      <a:fillRect/>
                    </a:stretch>
                  </pic:blipFill>
                  <pic:spPr>
                    <a:xfrm>
                      <a:off x="0" y="0"/>
                      <a:ext cx="6858000" cy="13163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80" w:lineRule="auto"/>
        <w:jc w:val="both"/>
        <w:rPr>
          <w:rFonts w:ascii="Arial" w:cs="Arial" w:eastAsia="Arial" w:hAnsi="Arial"/>
          <w:i w:val="1"/>
          <w:sz w:val="18"/>
          <w:szCs w:val="18"/>
        </w:rPr>
      </w:pPr>
      <w:bookmarkStart w:colFirst="0" w:colLast="0" w:name="_heading=h.3u7c7xfowp6n" w:id="21"/>
      <w:bookmarkEnd w:id="21"/>
      <w:r w:rsidDel="00000000" w:rsidR="00000000" w:rsidRPr="00000000">
        <w:rPr>
          <w:rFonts w:ascii="Arial" w:cs="Arial" w:eastAsia="Arial" w:hAnsi="Arial"/>
          <w:b w:val="1"/>
          <w:i w:val="1"/>
          <w:sz w:val="18"/>
          <w:szCs w:val="18"/>
          <w:rtl w:val="0"/>
        </w:rPr>
        <w:t xml:space="preserve">Figure X</w:t>
      </w:r>
      <w:r w:rsidDel="00000000" w:rsidR="00000000" w:rsidRPr="00000000">
        <w:rPr>
          <w:rFonts w:ascii="Arial" w:cs="Arial" w:eastAsia="Arial" w:hAnsi="Arial"/>
          <w:i w:val="1"/>
          <w:sz w:val="18"/>
          <w:szCs w:val="18"/>
          <w:rtl w:val="0"/>
        </w:rPr>
        <w:t xml:space="preserve">: Route from intermediate (SR 13) to ASAP-0016506.</w:t>
      </w:r>
    </w:p>
    <w:p w:rsidR="00000000" w:rsidDel="00000000" w:rsidP="00000000" w:rsidRDefault="00000000" w:rsidRPr="00000000" w14:paraId="00000017">
      <w:pPr>
        <w:spacing w:after="80" w:lineRule="auto"/>
        <w:jc w:val="both"/>
        <w:rPr>
          <w:rFonts w:ascii="Arial" w:cs="Arial" w:eastAsia="Arial" w:hAnsi="Arial"/>
          <w:sz w:val="22"/>
          <w:szCs w:val="22"/>
        </w:rPr>
      </w:pPr>
      <w:bookmarkStart w:colFirst="0" w:colLast="0" w:name="_heading=h.jf24413igufb" w:id="22"/>
      <w:bookmarkEnd w:id="22"/>
      <w:r w:rsidDel="00000000" w:rsidR="00000000" w:rsidRPr="00000000">
        <w:rPr>
          <w:rFonts w:ascii="Arial" w:cs="Arial" w:eastAsia="Arial" w:hAnsi="Arial"/>
          <w:sz w:val="22"/>
          <w:szCs w:val="22"/>
          <w:rtl w:val="0"/>
        </w:rPr>
        <w:t xml:space="preserve">Our latest batch of ASAP-0016506 is sufficient to undertake both the efficacy studies and a dog iv &amp; po study. The dog iv &amp; po pharmacokinetic studies are designed to improve our human dose prediction which is currently just based on rat iv &amp; po data with in vitro human and rat ADMET profiling and is planned in conjunction with the NIAID PCS group.</w:t>
      </w:r>
    </w:p>
    <w:p w:rsidR="00000000" w:rsidDel="00000000" w:rsidP="00000000" w:rsidRDefault="00000000" w:rsidRPr="00000000" w14:paraId="00000018">
      <w:pPr>
        <w:spacing w:after="80" w:lineRule="auto"/>
        <w:jc w:val="both"/>
        <w:rPr>
          <w:rFonts w:ascii="Arial" w:cs="Arial" w:eastAsia="Arial" w:hAnsi="Arial"/>
          <w:sz w:val="22"/>
          <w:szCs w:val="22"/>
        </w:rPr>
      </w:pPr>
      <w:bookmarkStart w:colFirst="0" w:colLast="0" w:name="_heading=h.ulnn9gc0bp9y" w:id="23"/>
      <w:bookmarkEnd w:id="23"/>
      <w:r w:rsidDel="00000000" w:rsidR="00000000" w:rsidRPr="00000000">
        <w:rPr>
          <w:rFonts w:ascii="Arial" w:cs="Arial" w:eastAsia="Arial" w:hAnsi="Arial"/>
          <w:sz w:val="22"/>
          <w:szCs w:val="22"/>
          <w:rtl w:val="0"/>
        </w:rPr>
        <w:tab/>
        <w:t xml:space="preserve">The pre-clinical development project has already instigated further process development on intermediate (</w:t>
      </w:r>
      <w:r w:rsidDel="00000000" w:rsidR="00000000" w:rsidRPr="00000000">
        <w:rPr>
          <w:rFonts w:ascii="Arial" w:cs="Arial" w:eastAsia="Arial" w:hAnsi="Arial"/>
          <w:b w:val="1"/>
          <w:i w:val="1"/>
          <w:sz w:val="22"/>
          <w:szCs w:val="22"/>
          <w:rtl w:val="0"/>
        </w:rPr>
        <w:t xml:space="preserve">S,R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13</w:t>
      </w:r>
      <w:r w:rsidDel="00000000" w:rsidR="00000000" w:rsidRPr="00000000">
        <w:rPr>
          <w:rFonts w:ascii="Arial" w:cs="Arial" w:eastAsia="Arial" w:hAnsi="Arial"/>
          <w:sz w:val="22"/>
          <w:szCs w:val="22"/>
          <w:rtl w:val="0"/>
        </w:rPr>
        <w:t xml:space="preserve">) to enable the larger batches of compounds for initial mammalian toxicology evaluation.</w:t>
      </w:r>
    </w:p>
    <w:p w:rsidR="00000000" w:rsidDel="00000000" w:rsidP="00000000" w:rsidRDefault="00000000" w:rsidRPr="00000000" w14:paraId="00000019">
      <w:pPr>
        <w:spacing w:after="80" w:lineRule="auto"/>
        <w:jc w:val="both"/>
        <w:rPr>
          <w:rFonts w:ascii="Arial" w:cs="Arial" w:eastAsia="Arial" w:hAnsi="Arial"/>
          <w:b w:val="1"/>
          <w:sz w:val="22"/>
          <w:szCs w:val="22"/>
        </w:rPr>
      </w:pPr>
      <w:bookmarkStart w:colFirst="0" w:colLast="0" w:name="_heading=h.fr9276tro8cj" w:id="24"/>
      <w:bookmarkEnd w:id="24"/>
      <w:r w:rsidDel="00000000" w:rsidR="00000000" w:rsidRPr="00000000">
        <w:rPr>
          <w:rtl w:val="0"/>
        </w:rPr>
      </w:r>
    </w:p>
    <w:p w:rsidR="00000000" w:rsidDel="00000000" w:rsidP="00000000" w:rsidRDefault="00000000" w:rsidRPr="00000000" w14:paraId="0000001A">
      <w:pPr>
        <w:spacing w:after="8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B">
      <w:pPr>
        <w:spacing w:after="80" w:lineRule="auto"/>
        <w:jc w:val="both"/>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8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C. Significance</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1D">
      <w:pPr>
        <w:spacing w:after="80" w:lineRule="auto"/>
        <w:jc w:val="both"/>
        <w:rPr>
          <w:rFonts w:ascii="Arial" w:cs="Arial" w:eastAsia="Arial" w:hAnsi="Arial"/>
          <w:b w:val="1"/>
          <w:sz w:val="22"/>
          <w:szCs w:val="22"/>
        </w:rPr>
      </w:pPr>
      <w:bookmarkStart w:colFirst="0" w:colLast="0" w:name="_heading=h.yecv13mx90gy" w:id="25"/>
      <w:bookmarkEnd w:id="25"/>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sz w:val="22"/>
          <w:szCs w:val="22"/>
        </w:rPr>
      </w:pPr>
      <w:bookmarkStart w:colFirst="0" w:colLast="0" w:name="_heading=h.j2a1mcopmtdz" w:id="26"/>
      <w:bookmarkEnd w:id="26"/>
      <w:r w:rsidDel="00000000" w:rsidR="00000000" w:rsidRPr="00000000">
        <w:rPr>
          <w:rFonts w:ascii="Arial" w:cs="Arial" w:eastAsia="Arial" w:hAnsi="Arial"/>
          <w:sz w:val="22"/>
          <w:szCs w:val="22"/>
          <w:rtl w:val="0"/>
        </w:rPr>
        <w:t xml:space="preserve">MERS-CoV, SARS-CoV-1, and SARS-CoV-2 are the three most lethal of the human coronaviridae. MERS-CoV is endemic in dromedary camels, and with ongoing climate change there is an increase in the camel population as a more drought resistant herd animal. With both SARS-CoV-2 and MERS-CoV endemic in multiple high population LMICs (Egypt, Nigeria, Pakistan: total population of 0.5Bn), the risk of a recombination event is high. Currently available Mpro inhibitors have MERS-CoV as a weak point, Therefore a MERS-CoV type lineage C betacoronavirus would not be treatable by existing agents. Our lead series also shows broadly equivalent potency with other tested coronaviridae.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sz w:val="22"/>
          <w:szCs w:val="22"/>
        </w:rPr>
      </w:pPr>
      <w:bookmarkStart w:colFirst="0" w:colLast="0" w:name="_heading=h.uve7g1loid3n" w:id="27"/>
      <w:bookmarkEnd w:id="27"/>
      <w:r w:rsidDel="00000000" w:rsidR="00000000" w:rsidRPr="00000000">
        <w:rPr>
          <w:rFonts w:ascii="Arial" w:cs="Arial" w:eastAsia="Arial" w:hAnsi="Arial"/>
          <w:sz w:val="22"/>
          <w:szCs w:val="22"/>
          <w:rtl w:val="0"/>
        </w:rPr>
        <w:t xml:space="preserve">Our Target Product Profile (TPP) is aimed at generating clinical agents for community use as oral therapies with a good safety profile, and minimal drug-drug interactions that could be used to treat patients as well as health workers and close contacts in an outbreak setting in a post-exposure prophylaxis (PEP) mode. Our aim is to contain an epidemic and avoid a pandemic within the first 100 days of a new betacoronaviral threat being realized. </w:t>
      </w:r>
    </w:p>
    <w:p w:rsidR="00000000" w:rsidDel="00000000" w:rsidP="00000000" w:rsidRDefault="00000000" w:rsidRPr="00000000" w14:paraId="00000020">
      <w:pPr>
        <w:spacing w:after="80" w:lineRule="auto"/>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21">
      <w:pPr>
        <w:spacing w:after="8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6858000" cy="38608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80" w:lineRule="auto"/>
        <w:jc w:val="both"/>
        <w:rPr>
          <w:rFonts w:ascii="Arial" w:cs="Arial" w:eastAsia="Arial" w:hAnsi="Arial"/>
          <w:b w:val="1"/>
          <w:sz w:val="22"/>
          <w:szCs w:val="22"/>
        </w:rPr>
      </w:pPr>
      <w:bookmarkStart w:colFirst="0" w:colLast="0" w:name="_heading=h.63qy36o5aev7" w:id="28"/>
      <w:bookmarkEnd w:id="28"/>
      <w:r w:rsidDel="00000000" w:rsidR="00000000" w:rsidRPr="00000000">
        <w:rPr>
          <w:rtl w:val="0"/>
        </w:rPr>
      </w:r>
    </w:p>
    <w:p w:rsidR="00000000" w:rsidDel="00000000" w:rsidP="00000000" w:rsidRDefault="00000000" w:rsidRPr="00000000" w14:paraId="00000023">
      <w:pPr>
        <w:spacing w:after="80" w:lineRule="auto"/>
        <w:jc w:val="both"/>
        <w:rPr>
          <w:rFonts w:ascii="Arial" w:cs="Arial" w:eastAsia="Arial" w:hAnsi="Arial"/>
          <w:sz w:val="22"/>
          <w:szCs w:val="22"/>
        </w:rPr>
      </w:pPr>
      <w:bookmarkStart w:colFirst="0" w:colLast="0" w:name="_heading=h.37f7twiy4svv" w:id="29"/>
      <w:bookmarkEnd w:id="29"/>
      <w:r w:rsidDel="00000000" w:rsidR="00000000" w:rsidRPr="00000000">
        <w:rPr>
          <w:rtl w:val="0"/>
        </w:rPr>
      </w:r>
    </w:p>
    <w:p w:rsidR="00000000" w:rsidDel="00000000" w:rsidP="00000000" w:rsidRDefault="00000000" w:rsidRPr="00000000" w14:paraId="00000024">
      <w:pPr>
        <w:spacing w:after="80" w:lineRule="auto"/>
        <w:jc w:val="both"/>
        <w:rPr>
          <w:rFonts w:ascii="Arial" w:cs="Arial" w:eastAsia="Arial" w:hAnsi="Arial"/>
          <w:sz w:val="22"/>
          <w:szCs w:val="22"/>
        </w:rPr>
      </w:pPr>
      <w:bookmarkStart w:colFirst="0" w:colLast="0" w:name="_heading=h.dqbn9qhwht8" w:id="30"/>
      <w:bookmarkEnd w:id="30"/>
      <w:r w:rsidDel="00000000" w:rsidR="00000000" w:rsidRPr="00000000">
        <w:rPr>
          <w:rtl w:val="0"/>
        </w:rPr>
      </w:r>
    </w:p>
    <w:p w:rsidR="00000000" w:rsidDel="00000000" w:rsidP="00000000" w:rsidRDefault="00000000" w:rsidRPr="00000000" w14:paraId="00000025">
      <w:pPr>
        <w:spacing w:after="80" w:lineRule="auto"/>
        <w:jc w:val="both"/>
        <w:rPr>
          <w:rFonts w:ascii="Arial" w:cs="Arial" w:eastAsia="Arial" w:hAnsi="Arial"/>
          <w:sz w:val="22"/>
          <w:szCs w:val="22"/>
        </w:rPr>
      </w:pPr>
      <w:bookmarkStart w:colFirst="0" w:colLast="0" w:name="_heading=h.oxfjl8ucnlgg" w:id="31"/>
      <w:bookmarkEnd w:id="31"/>
      <w:r w:rsidDel="00000000" w:rsidR="00000000" w:rsidRPr="00000000">
        <w:rPr>
          <w:rtl w:val="0"/>
        </w:rPr>
      </w:r>
    </w:p>
    <w:p w:rsidR="00000000" w:rsidDel="00000000" w:rsidP="00000000" w:rsidRDefault="00000000" w:rsidRPr="00000000" w14:paraId="00000026">
      <w:pPr>
        <w:spacing w:after="80" w:lineRule="auto"/>
        <w:jc w:val="both"/>
        <w:rPr>
          <w:rFonts w:ascii="Arial" w:cs="Arial" w:eastAsia="Arial" w:hAnsi="Arial"/>
          <w:sz w:val="22"/>
          <w:szCs w:val="22"/>
        </w:rPr>
      </w:pPr>
      <w:bookmarkStart w:colFirst="0" w:colLast="0" w:name="_heading=h.fa3bok3ghf40" w:id="32"/>
      <w:bookmarkEnd w:id="32"/>
      <w:r w:rsidDel="00000000" w:rsidR="00000000" w:rsidRPr="00000000">
        <w:rPr>
          <w:rtl w:val="0"/>
        </w:rPr>
      </w:r>
    </w:p>
    <w:p w:rsidR="00000000" w:rsidDel="00000000" w:rsidP="00000000" w:rsidRDefault="00000000" w:rsidRPr="00000000" w14:paraId="00000027">
      <w:pPr>
        <w:spacing w:after="80" w:lineRule="auto"/>
        <w:jc w:val="both"/>
        <w:rPr>
          <w:rFonts w:ascii="Arial" w:cs="Arial" w:eastAsia="Arial" w:hAnsi="Arial"/>
          <w:sz w:val="22"/>
          <w:szCs w:val="22"/>
        </w:rPr>
      </w:pPr>
      <w:bookmarkStart w:colFirst="0" w:colLast="0" w:name="_heading=h.4orr1wf7ee7q" w:id="33"/>
      <w:bookmarkEnd w:id="33"/>
      <w:r w:rsidDel="00000000" w:rsidR="00000000" w:rsidRPr="00000000">
        <w:rPr>
          <w:rtl w:val="0"/>
        </w:rPr>
      </w:r>
    </w:p>
    <w:p w:rsidR="00000000" w:rsidDel="00000000" w:rsidP="00000000" w:rsidRDefault="00000000" w:rsidRPr="00000000" w14:paraId="00000028">
      <w:pPr>
        <w:spacing w:after="80" w:lineRule="auto"/>
        <w:jc w:val="both"/>
        <w:rPr>
          <w:rFonts w:ascii="Arial" w:cs="Arial" w:eastAsia="Arial" w:hAnsi="Arial"/>
          <w:sz w:val="22"/>
          <w:szCs w:val="22"/>
        </w:rPr>
      </w:pPr>
      <w:bookmarkStart w:colFirst="0" w:colLast="0" w:name="_heading=h.q3pd94zft96" w:id="34"/>
      <w:bookmarkEnd w:id="34"/>
      <w:r w:rsidDel="00000000" w:rsidR="00000000" w:rsidRPr="00000000">
        <w:rPr>
          <w:rtl w:val="0"/>
        </w:rPr>
      </w:r>
    </w:p>
    <w:p w:rsidR="00000000" w:rsidDel="00000000" w:rsidP="00000000" w:rsidRDefault="00000000" w:rsidRPr="00000000" w14:paraId="00000029">
      <w:pPr>
        <w:spacing w:after="8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A">
      <w:pPr>
        <w:spacing w:after="80" w:lineRule="auto"/>
        <w:jc w:val="both"/>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8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D. Plans</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2C">
      <w:pPr>
        <w:spacing w:after="80" w:lineRule="auto"/>
        <w:jc w:val="both"/>
        <w:rPr>
          <w:rFonts w:ascii="Arial" w:cs="Arial" w:eastAsia="Arial" w:hAnsi="Arial"/>
          <w:color w:val="ff0000"/>
          <w:sz w:val="22"/>
          <w:szCs w:val="22"/>
        </w:rPr>
      </w:pPr>
      <w:bookmarkStart w:colFirst="0" w:colLast="0" w:name="_heading=h.fox89z190ddr" w:id="35"/>
      <w:bookmarkEnd w:id="35"/>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720" w:right="0" w:hanging="360"/>
        <w:jc w:val="both"/>
        <w:rPr>
          <w:rFonts w:ascii="Arial" w:cs="Arial" w:eastAsia="Arial" w:hAnsi="Arial"/>
          <w:sz w:val="22"/>
          <w:szCs w:val="22"/>
        </w:rPr>
      </w:pPr>
      <w:bookmarkStart w:colFirst="0" w:colLast="0" w:name="_heading=h.gvrcib653fay" w:id="36"/>
      <w:bookmarkEnd w:id="36"/>
      <w:r w:rsidDel="00000000" w:rsidR="00000000" w:rsidRPr="00000000">
        <w:rPr>
          <w:rFonts w:ascii="Arial" w:cs="Arial" w:eastAsia="Arial" w:hAnsi="Arial"/>
          <w:sz w:val="22"/>
          <w:szCs w:val="22"/>
          <w:rtl w:val="0"/>
        </w:rPr>
        <w:t xml:space="preserve">Complete the identification of a minimum of  two structurally differentiated optimized MERS-CoV and SARS-COV-2 Mpro inhibitors and transition into pre-clinical development.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720" w:right="0" w:firstLine="0"/>
        <w:jc w:val="both"/>
        <w:rPr>
          <w:rFonts w:ascii="Arial" w:cs="Arial" w:eastAsia="Arial" w:hAnsi="Arial"/>
          <w:sz w:val="22"/>
          <w:szCs w:val="22"/>
        </w:rPr>
      </w:pPr>
      <w:bookmarkStart w:colFirst="0" w:colLast="0" w:name="_heading=h.jn9kxm99ut3v" w:id="37"/>
      <w:bookmarkEnd w:id="37"/>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720" w:right="0" w:hanging="360"/>
        <w:jc w:val="both"/>
        <w:rPr>
          <w:rFonts w:ascii="Arial" w:cs="Arial" w:eastAsia="Arial" w:hAnsi="Arial"/>
          <w:sz w:val="22"/>
          <w:szCs w:val="22"/>
        </w:rPr>
      </w:pPr>
      <w:bookmarkStart w:colFirst="0" w:colLast="0" w:name="_heading=h.8p04cznc310s" w:id="38"/>
      <w:bookmarkEnd w:id="38"/>
      <w:r w:rsidDel="00000000" w:rsidR="00000000" w:rsidRPr="00000000">
        <w:rPr>
          <w:rFonts w:ascii="Arial" w:cs="Arial" w:eastAsia="Arial" w:hAnsi="Arial"/>
          <w:sz w:val="22"/>
          <w:szCs w:val="22"/>
          <w:rtl w:val="0"/>
        </w:rPr>
        <w:t xml:space="preserve">Deliver a short list of compounds for efficacy studies selected from whichever programs complete the hit-to-lead (Project 3) phase. These programs are currently in Project 3:</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0" w:line="240" w:lineRule="auto"/>
        <w:ind w:left="1440" w:right="0" w:hanging="360"/>
        <w:jc w:val="both"/>
        <w:rPr>
          <w:rFonts w:ascii="Arial" w:cs="Arial" w:eastAsia="Arial" w:hAnsi="Arial"/>
          <w:sz w:val="22"/>
          <w:szCs w:val="22"/>
          <w:u w:val="none"/>
        </w:rPr>
      </w:pPr>
      <w:bookmarkStart w:colFirst="0" w:colLast="0" w:name="_heading=h.4o3le1j9sygb" w:id="39"/>
      <w:bookmarkEnd w:id="39"/>
      <w:r w:rsidDel="00000000" w:rsidR="00000000" w:rsidRPr="00000000">
        <w:rPr>
          <w:rFonts w:ascii="Arial" w:cs="Arial" w:eastAsia="Arial" w:hAnsi="Arial"/>
          <w:sz w:val="22"/>
          <w:szCs w:val="22"/>
          <w:rtl w:val="0"/>
        </w:rPr>
        <w:t xml:space="preserve">DENV/ZIKV NS2B/3 protease program</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0" w:line="240" w:lineRule="auto"/>
        <w:ind w:left="1440" w:right="0" w:hanging="360"/>
        <w:jc w:val="both"/>
        <w:rPr>
          <w:rFonts w:ascii="Arial" w:cs="Arial" w:eastAsia="Arial" w:hAnsi="Arial"/>
          <w:sz w:val="22"/>
          <w:szCs w:val="22"/>
          <w:u w:val="none"/>
        </w:rPr>
      </w:pPr>
      <w:bookmarkStart w:colFirst="0" w:colLast="0" w:name="_heading=h.d98oj0riykjq" w:id="40"/>
      <w:bookmarkEnd w:id="40"/>
      <w:r w:rsidDel="00000000" w:rsidR="00000000" w:rsidRPr="00000000">
        <w:rPr>
          <w:rFonts w:ascii="Arial" w:cs="Arial" w:eastAsia="Arial" w:hAnsi="Arial"/>
          <w:sz w:val="22"/>
          <w:szCs w:val="22"/>
          <w:rtl w:val="0"/>
        </w:rPr>
        <w:t xml:space="preserve">EV-D68/A71 3C protease program</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0" w:line="240" w:lineRule="auto"/>
        <w:ind w:left="1440" w:right="0" w:hanging="360"/>
        <w:jc w:val="both"/>
        <w:rPr>
          <w:rFonts w:ascii="Arial" w:cs="Arial" w:eastAsia="Arial" w:hAnsi="Arial"/>
          <w:sz w:val="22"/>
          <w:szCs w:val="22"/>
          <w:u w:val="none"/>
        </w:rPr>
      </w:pPr>
      <w:bookmarkStart w:colFirst="0" w:colLast="0" w:name="_heading=h.ct84p455w847" w:id="41"/>
      <w:bookmarkEnd w:id="41"/>
      <w:r w:rsidDel="00000000" w:rsidR="00000000" w:rsidRPr="00000000">
        <w:rPr>
          <w:rFonts w:ascii="Arial" w:cs="Arial" w:eastAsia="Arial" w:hAnsi="Arial"/>
          <w:sz w:val="22"/>
          <w:szCs w:val="22"/>
          <w:rtl w:val="0"/>
        </w:rPr>
        <w:t xml:space="preserve">SARS-CoV-2 N protein program</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80" w:before="0" w:line="240" w:lineRule="auto"/>
        <w:ind w:left="1440" w:right="0" w:hanging="360"/>
        <w:jc w:val="both"/>
        <w:rPr>
          <w:rFonts w:ascii="Arial" w:cs="Arial" w:eastAsia="Arial" w:hAnsi="Arial"/>
          <w:sz w:val="22"/>
          <w:szCs w:val="22"/>
          <w:u w:val="none"/>
        </w:rPr>
      </w:pPr>
      <w:bookmarkStart w:colFirst="0" w:colLast="0" w:name="_heading=h.f1lpx6skk97y" w:id="42"/>
      <w:bookmarkEnd w:id="42"/>
      <w:r w:rsidDel="00000000" w:rsidR="00000000" w:rsidRPr="00000000">
        <w:rPr>
          <w:rFonts w:ascii="Arial" w:cs="Arial" w:eastAsia="Arial" w:hAnsi="Arial"/>
          <w:sz w:val="22"/>
          <w:szCs w:val="22"/>
          <w:rtl w:val="0"/>
        </w:rPr>
        <w:t xml:space="preserve">SARS-CoV-2 capsid program</w:t>
      </w:r>
    </w:p>
    <w:p w:rsidR="00000000" w:rsidDel="00000000" w:rsidP="00000000" w:rsidRDefault="00000000" w:rsidRPr="00000000" w14:paraId="00000034">
      <w:pPr>
        <w:spacing w:after="80" w:lineRule="auto"/>
        <w:jc w:val="both"/>
        <w:rPr>
          <w:rFonts w:ascii="Arial" w:cs="Arial" w:eastAsia="Arial" w:hAnsi="Arial"/>
          <w:sz w:val="22"/>
          <w:szCs w:val="22"/>
        </w:rPr>
      </w:pPr>
      <w:bookmarkStart w:colFirst="0" w:colLast="0" w:name="_heading=h.3046ixv1zv23" w:id="43"/>
      <w:bookmarkEnd w:id="43"/>
      <w:r w:rsidDel="00000000" w:rsidR="00000000" w:rsidRPr="00000000">
        <w:rPr>
          <w:rtl w:val="0"/>
        </w:rPr>
      </w:r>
    </w:p>
    <w:sectPr>
      <w:headerReference r:id="rId14" w:type="default"/>
      <w:footerReference r:id="rId15" w:type="default"/>
      <w:pgSz w:h="15840" w:w="12240" w:orient="portrait"/>
      <w:pgMar w:bottom="720" w:top="115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widowControl w:val="1"/>
      <w:pBdr>
        <w:top w:color="000000" w:space="1" w:sz="6" w:val="single"/>
        <w:left w:space="0" w:sz="0" w:val="nil"/>
        <w:bottom w:space="0" w:sz="0" w:val="nil"/>
        <w:right w:space="0" w:sz="0" w:val="nil"/>
        <w:between w:space="0" w:sz="0" w:val="nil"/>
      </w:pBdr>
      <w:shd w:fill="auto" w:val="clear"/>
      <w:tabs>
        <w:tab w:val="center" w:leader="none" w:pos="5400"/>
        <w:tab w:val="right" w:leader="none" w:pos="1080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0925-0001 (Rev. 03/16)</w:t>
      <w:tab/>
      <w:t xml:space="preserve">Page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Continuation Format 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864"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Program Director/Principal Investigator (Last, First, Middle):    </w:t>
    </w:r>
    <w:r w:rsidDel="00000000" w:rsidR="00000000" w:rsidRPr="00000000">
      <w:rPr>
        <w:rFonts w:ascii="Arial" w:cs="Arial" w:eastAsia="Arial" w:hAnsi="Arial"/>
        <w:b w:val="1"/>
        <w:sz w:val="16"/>
        <w:szCs w:val="16"/>
        <w:rtl w:val="0"/>
      </w:rPr>
      <w:t xml:space="preserve">CHODERA, JOHN DAMON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pPr>
      <w:autoSpaceDE w:val="0"/>
      <w:autoSpaceDN w:val="0"/>
    </w:pPr>
    <w:rPr>
      <w:rFonts w:ascii="Times" w:hAnsi="Times"/>
      <w:sz w:val="24"/>
      <w:szCs w:val="24"/>
    </w:rPr>
  </w:style>
  <w:style w:type="paragraph" w:styleId="Heading1">
    <w:name w:val="heading 1"/>
    <w:basedOn w:val="Normal"/>
    <w:next w:val="Normal"/>
    <w:qFormat w:val="1"/>
    <w:pPr>
      <w:keepNext w:val="1"/>
      <w:jc w:val="center"/>
      <w:outlineLvl w:val="0"/>
    </w:pPr>
    <w:rPr>
      <w:rFonts w:ascii="Arial" w:cs="Arial" w:hAnsi="Arial"/>
      <w:b w:val="1"/>
      <w:bCs w:val="1"/>
      <w:sz w:val="22"/>
      <w:szCs w:val="22"/>
    </w:rPr>
  </w:style>
  <w:style w:type="paragraph" w:styleId="Heading2">
    <w:name w:val="heading 2"/>
    <w:basedOn w:val="Normal"/>
    <w:next w:val="Normal"/>
    <w:qFormat w:val="1"/>
    <w:pPr>
      <w:keepNext w:val="1"/>
      <w:spacing w:after="60" w:before="240"/>
      <w:outlineLvl w:val="1"/>
    </w:pPr>
    <w:rPr>
      <w:rFonts w:ascii="Arial" w:cs="Arial" w:hAnsi="Arial"/>
      <w:b w:val="1"/>
      <w:bCs w:val="1"/>
      <w:i w:val="1"/>
      <w:iCs w:val="1"/>
    </w:rPr>
  </w:style>
  <w:style w:type="paragraph" w:styleId="Heading3">
    <w:name w:val="heading 3"/>
    <w:basedOn w:val="Normal"/>
    <w:next w:val="Normal"/>
    <w:qFormat w:val="1"/>
    <w:pPr>
      <w:keepNext w:val="1"/>
      <w:spacing w:after="60" w:before="240"/>
      <w:outlineLvl w:val="2"/>
    </w:pPr>
    <w:rPr>
      <w:rFonts w:ascii="Arial" w:cs="Arial" w:hAnsi="Arial"/>
    </w:rPr>
  </w:style>
  <w:style w:type="paragraph" w:styleId="Heading4">
    <w:name w:val="heading 4"/>
    <w:basedOn w:val="Normal"/>
    <w:next w:val="Normal"/>
    <w:qFormat w:val="1"/>
    <w:pPr>
      <w:keepNext w:val="1"/>
      <w:spacing w:after="60" w:before="240"/>
      <w:outlineLvl w:val="3"/>
    </w:pPr>
    <w:rPr>
      <w:rFonts w:ascii="Arial" w:cs="Arial" w:hAnsi="Arial"/>
      <w:b w:val="1"/>
      <w:bCs w:val="1"/>
    </w:rPr>
  </w:style>
  <w:style w:type="paragraph" w:styleId="Heading5">
    <w:name w:val="heading 5"/>
    <w:basedOn w:val="Normal"/>
    <w:next w:val="Normal"/>
    <w:qFormat w:val="1"/>
    <w:pPr>
      <w:spacing w:after="60" w:before="240"/>
      <w:outlineLvl w:val="4"/>
    </w:pPr>
    <w:rPr>
      <w:rFonts w:cs="Times"/>
      <w:sz w:val="22"/>
      <w:szCs w:val="22"/>
    </w:rPr>
  </w:style>
  <w:style w:type="paragraph" w:styleId="Heading6">
    <w:name w:val="heading 6"/>
    <w:basedOn w:val="Normal"/>
    <w:next w:val="Normal"/>
    <w:qFormat w:val="1"/>
    <w:pPr>
      <w:spacing w:after="60" w:before="240"/>
      <w:outlineLvl w:val="5"/>
    </w:pPr>
    <w:rPr>
      <w:rFonts w:cs="Times"/>
      <w:i w:val="1"/>
      <w:iCs w:val="1"/>
      <w:sz w:val="22"/>
      <w:szCs w:val="22"/>
    </w:rPr>
  </w:style>
  <w:style w:type="paragraph" w:styleId="Heading7">
    <w:name w:val="heading 7"/>
    <w:basedOn w:val="Normal"/>
    <w:next w:val="Normal"/>
    <w:qFormat w:val="1"/>
    <w:pPr>
      <w:spacing w:after="60" w:before="240"/>
      <w:outlineLvl w:val="6"/>
    </w:pPr>
    <w:rPr>
      <w:rFonts w:ascii="Arial" w:cs="Arial" w:hAnsi="Arial"/>
      <w:sz w:val="20"/>
      <w:szCs w:val="20"/>
    </w:rPr>
  </w:style>
  <w:style w:type="paragraph" w:styleId="Heading8">
    <w:name w:val="heading 8"/>
    <w:basedOn w:val="Normal"/>
    <w:next w:val="Normal"/>
    <w:qFormat w:val="1"/>
    <w:pPr>
      <w:spacing w:after="60" w:before="240"/>
      <w:outlineLvl w:val="7"/>
    </w:pPr>
    <w:rPr>
      <w:rFonts w:ascii="Arial" w:cs="Arial" w:hAnsi="Arial"/>
      <w:i w:val="1"/>
      <w:iCs w:val="1"/>
      <w:sz w:val="20"/>
      <w:szCs w:val="20"/>
    </w:rPr>
  </w:style>
  <w:style w:type="paragraph" w:styleId="Heading9">
    <w:name w:val="heading 9"/>
    <w:basedOn w:val="Normal"/>
    <w:next w:val="Normal"/>
    <w:qFormat w:val="1"/>
    <w:pPr>
      <w:spacing w:after="60"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heckbox" w:customStyle="1">
    <w:name w:val="checkbox"/>
    <w:basedOn w:val="Normal"/>
    <w:pPr>
      <w:pBdr>
        <w:top w:color="auto" w:space="0" w:sz="6" w:val="single"/>
        <w:left w:color="auto" w:space="0" w:sz="6" w:val="single"/>
        <w:bottom w:color="auto" w:space="0" w:sz="6" w:val="single"/>
        <w:right w:color="auto" w:space="0" w:sz="6" w:val="single"/>
      </w:pBdr>
      <w:jc w:val="center"/>
    </w:pPr>
    <w:rPr>
      <w:rFonts w:cs="Times"/>
      <w:noProof w:val="1"/>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cs="Arial" w:hAnsi="Arial"/>
      <w:sz w:val="22"/>
      <w:szCs w:val="22"/>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cs="Times" w:hAnsi="Times"/>
      <w:sz w:val="24"/>
      <w:szCs w:val="24"/>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val="1"/>
    <w:pPr>
      <w:spacing w:after="120" w:before="120"/>
    </w:pPr>
    <w:rPr>
      <w:rFonts w:cs="Times"/>
      <w:b w:val="1"/>
      <w:bCs w:val="1"/>
    </w:rPr>
  </w:style>
  <w:style w:type="paragraph" w:styleId="Closing">
    <w:name w:val="Closing"/>
    <w:basedOn w:val="Normal"/>
    <w:pPr>
      <w:ind w:left="4320"/>
    </w:pPr>
    <w:rPr>
      <w:rFonts w:cs="Times"/>
    </w:rPr>
  </w:style>
  <w:style w:type="paragraph" w:styleId="CommentText">
    <w:name w:val="annotation text"/>
    <w:basedOn w:val="Normal"/>
    <w:semiHidden w:val="1"/>
    <w:rPr>
      <w:rFonts w:cs="Times"/>
      <w:sz w:val="20"/>
      <w:szCs w:val="20"/>
    </w:rPr>
  </w:style>
  <w:style w:type="paragraph" w:styleId="Date">
    <w:name w:val="Date"/>
    <w:basedOn w:val="Normal"/>
    <w:next w:val="Normal"/>
    <w:rPr>
      <w:rFonts w:cs="Times"/>
    </w:rPr>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rFonts w:cs="Times"/>
      <w:sz w:val="20"/>
      <w:szCs w:val="20"/>
    </w:rPr>
  </w:style>
  <w:style w:type="paragraph" w:styleId="EnvelopeAddress">
    <w:name w:val="envelope address"/>
    <w:basedOn w:val="Normal"/>
    <w:pPr>
      <w:framePr w:lines="0" w:w="7920" w:h="1980" w:hSpace="180" w:wrap="auto" w:hAnchor="page" w:xAlign="center" w:yAlign="bottom" w:hRule="exact"/>
      <w:ind w:left="2880"/>
    </w:pPr>
    <w:rPr>
      <w:rFonts w:ascii="Arial" w:cs="Arial" w:hAnsi="Arial"/>
    </w:rPr>
  </w:style>
  <w:style w:type="paragraph" w:styleId="EnvelopeReturn">
    <w:name w:val="envelope return"/>
    <w:basedOn w:val="Normal"/>
    <w:rPr>
      <w:rFonts w:ascii="Arial" w:cs="Arial" w:hAnsi="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val="1"/>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val="1"/>
    <w:semiHidden w:val="1"/>
    <w:pPr>
      <w:ind w:left="240" w:hanging="240"/>
    </w:pPr>
    <w:rPr>
      <w:rFonts w:cs="Times"/>
    </w:rPr>
  </w:style>
  <w:style w:type="paragraph" w:styleId="Index2">
    <w:name w:val="index 2"/>
    <w:basedOn w:val="Normal"/>
    <w:next w:val="Normal"/>
    <w:autoRedefine w:val="1"/>
    <w:semiHidden w:val="1"/>
    <w:pPr>
      <w:ind w:left="480" w:hanging="240"/>
    </w:pPr>
    <w:rPr>
      <w:rFonts w:cs="Times"/>
    </w:rPr>
  </w:style>
  <w:style w:type="paragraph" w:styleId="Index3">
    <w:name w:val="index 3"/>
    <w:basedOn w:val="Normal"/>
    <w:next w:val="Normal"/>
    <w:autoRedefine w:val="1"/>
    <w:semiHidden w:val="1"/>
    <w:pPr>
      <w:ind w:left="720" w:hanging="240"/>
    </w:pPr>
    <w:rPr>
      <w:rFonts w:cs="Times"/>
    </w:rPr>
  </w:style>
  <w:style w:type="paragraph" w:styleId="Index4">
    <w:name w:val="index 4"/>
    <w:basedOn w:val="Normal"/>
    <w:next w:val="Normal"/>
    <w:autoRedefine w:val="1"/>
    <w:semiHidden w:val="1"/>
    <w:pPr>
      <w:ind w:left="960" w:hanging="240"/>
    </w:pPr>
    <w:rPr>
      <w:rFonts w:cs="Times"/>
    </w:rPr>
  </w:style>
  <w:style w:type="paragraph" w:styleId="Index5">
    <w:name w:val="index 5"/>
    <w:basedOn w:val="Normal"/>
    <w:next w:val="Normal"/>
    <w:autoRedefine w:val="1"/>
    <w:semiHidden w:val="1"/>
    <w:pPr>
      <w:ind w:left="1200" w:hanging="240"/>
    </w:pPr>
    <w:rPr>
      <w:rFonts w:cs="Times"/>
    </w:rPr>
  </w:style>
  <w:style w:type="paragraph" w:styleId="Index6">
    <w:name w:val="index 6"/>
    <w:basedOn w:val="Normal"/>
    <w:next w:val="Normal"/>
    <w:autoRedefine w:val="1"/>
    <w:semiHidden w:val="1"/>
    <w:pPr>
      <w:ind w:left="1440" w:hanging="240"/>
    </w:pPr>
    <w:rPr>
      <w:rFonts w:cs="Times"/>
    </w:rPr>
  </w:style>
  <w:style w:type="paragraph" w:styleId="Index7">
    <w:name w:val="index 7"/>
    <w:basedOn w:val="Normal"/>
    <w:next w:val="Normal"/>
    <w:autoRedefine w:val="1"/>
    <w:semiHidden w:val="1"/>
    <w:pPr>
      <w:ind w:left="1680" w:hanging="240"/>
    </w:pPr>
    <w:rPr>
      <w:rFonts w:cs="Times"/>
    </w:rPr>
  </w:style>
  <w:style w:type="paragraph" w:styleId="Index8">
    <w:name w:val="index 8"/>
    <w:basedOn w:val="Normal"/>
    <w:next w:val="Normal"/>
    <w:autoRedefine w:val="1"/>
    <w:semiHidden w:val="1"/>
    <w:pPr>
      <w:ind w:left="1920" w:hanging="240"/>
    </w:pPr>
    <w:rPr>
      <w:rFonts w:cs="Times"/>
    </w:rPr>
  </w:style>
  <w:style w:type="paragraph" w:styleId="Index9">
    <w:name w:val="index 9"/>
    <w:basedOn w:val="Normal"/>
    <w:next w:val="Normal"/>
    <w:autoRedefine w:val="1"/>
    <w:semiHidden w:val="1"/>
    <w:pPr>
      <w:ind w:left="2160" w:hanging="240"/>
    </w:pPr>
    <w:rPr>
      <w:rFonts w:cs="Times"/>
    </w:rPr>
  </w:style>
  <w:style w:type="paragraph" w:styleId="IndexHeading">
    <w:name w:val="index heading"/>
    <w:basedOn w:val="Normal"/>
    <w:next w:val="Index1"/>
    <w:semiHidden w:val="1"/>
    <w:rPr>
      <w:rFonts w:ascii="Arial" w:cs="Arial" w:hAnsi="Arial"/>
      <w:b w:val="1"/>
      <w:bCs w:val="1"/>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val="1"/>
    <w:pPr>
      <w:numPr>
        <w:numId w:val="1"/>
      </w:numPr>
    </w:pPr>
    <w:rPr>
      <w:rFonts w:cs="Times"/>
    </w:rPr>
  </w:style>
  <w:style w:type="paragraph" w:styleId="ListBullet2">
    <w:name w:val="List Bullet 2"/>
    <w:basedOn w:val="Normal"/>
    <w:autoRedefine w:val="1"/>
    <w:pPr>
      <w:numPr>
        <w:numId w:val="2"/>
      </w:numPr>
    </w:pPr>
    <w:rPr>
      <w:rFonts w:cs="Times"/>
    </w:rPr>
  </w:style>
  <w:style w:type="paragraph" w:styleId="ListBullet3">
    <w:name w:val="List Bullet 3"/>
    <w:basedOn w:val="Normal"/>
    <w:autoRedefine w:val="1"/>
    <w:pPr>
      <w:numPr>
        <w:numId w:val="3"/>
      </w:numPr>
    </w:pPr>
    <w:rPr>
      <w:rFonts w:cs="Times"/>
    </w:rPr>
  </w:style>
  <w:style w:type="paragraph" w:styleId="ListBullet4">
    <w:name w:val="List Bullet 4"/>
    <w:basedOn w:val="Normal"/>
    <w:autoRedefine w:val="1"/>
    <w:pPr>
      <w:numPr>
        <w:numId w:val="4"/>
      </w:numPr>
    </w:pPr>
    <w:rPr>
      <w:rFonts w:cs="Times"/>
    </w:rPr>
  </w:style>
  <w:style w:type="paragraph" w:styleId="ListBullet5">
    <w:name w:val="List Bullet 5"/>
    <w:basedOn w:val="Normal"/>
    <w:autoRedefine w:val="1"/>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cs="Courier New" w:hAnsi="Courier New"/>
    </w:rPr>
  </w:style>
  <w:style w:type="paragraph" w:styleId="MessageHeader">
    <w:name w:val="Message Header"/>
    <w:basedOn w:val="Normal"/>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basedOn w:val="Normal"/>
    <w:rPr>
      <w:rFonts w:ascii="Courier New" w:cs="Courier New" w:hAnsi="Courier New"/>
      <w:sz w:val="20"/>
      <w:szCs w:val="20"/>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val="1"/>
    <w:pPr>
      <w:spacing w:after="60"/>
      <w:jc w:val="center"/>
      <w:outlineLvl w:val="1"/>
    </w:pPr>
    <w:rPr>
      <w:rFonts w:ascii="Arial" w:cs="Arial" w:hAnsi="Arial"/>
    </w:rPr>
  </w:style>
  <w:style w:type="paragraph" w:styleId="TableofAuthorities">
    <w:name w:val="table of authorities"/>
    <w:basedOn w:val="Normal"/>
    <w:next w:val="Normal"/>
    <w:semiHidden w:val="1"/>
    <w:pPr>
      <w:ind w:left="240" w:hanging="240"/>
    </w:pPr>
    <w:rPr>
      <w:rFonts w:cs="Times"/>
    </w:rPr>
  </w:style>
  <w:style w:type="paragraph" w:styleId="TableofFigures">
    <w:name w:val="table of figures"/>
    <w:basedOn w:val="Normal"/>
    <w:next w:val="Normal"/>
    <w:semiHidden w:val="1"/>
    <w:pPr>
      <w:ind w:left="480" w:hanging="480"/>
    </w:pPr>
    <w:rPr>
      <w:rFonts w:cs="Times"/>
    </w:rPr>
  </w:style>
  <w:style w:type="paragraph" w:styleId="Title">
    <w:name w:val="Title"/>
    <w:basedOn w:val="Normal"/>
    <w:qFormat w:val="1"/>
    <w:pPr>
      <w:spacing w:after="60" w:before="240"/>
      <w:jc w:val="center"/>
      <w:outlineLvl w:val="0"/>
    </w:pPr>
    <w:rPr>
      <w:rFonts w:ascii="Arial" w:cs="Arial" w:hAnsi="Arial"/>
      <w:b w:val="1"/>
      <w:bCs w:val="1"/>
      <w:kern w:val="28"/>
      <w:sz w:val="32"/>
      <w:szCs w:val="32"/>
    </w:rPr>
  </w:style>
  <w:style w:type="paragraph" w:styleId="TOAHeading">
    <w:name w:val="toa heading"/>
    <w:basedOn w:val="Normal"/>
    <w:next w:val="Normal"/>
    <w:semiHidden w:val="1"/>
    <w:pPr>
      <w:spacing w:before="120"/>
    </w:pPr>
    <w:rPr>
      <w:rFonts w:ascii="Arial" w:cs="Arial" w:hAnsi="Arial"/>
      <w:b w:val="1"/>
      <w:bCs w:val="1"/>
    </w:rPr>
  </w:style>
  <w:style w:type="paragraph" w:styleId="TOC1">
    <w:name w:val="toc 1"/>
    <w:basedOn w:val="Normal"/>
    <w:next w:val="Normal"/>
    <w:autoRedefine w:val="1"/>
    <w:semiHidden w:val="1"/>
    <w:rPr>
      <w:rFonts w:cs="Times"/>
    </w:rPr>
  </w:style>
  <w:style w:type="paragraph" w:styleId="TOC2">
    <w:name w:val="toc 2"/>
    <w:basedOn w:val="Normal"/>
    <w:next w:val="Normal"/>
    <w:autoRedefine w:val="1"/>
    <w:semiHidden w:val="1"/>
    <w:pPr>
      <w:ind w:left="240"/>
    </w:pPr>
    <w:rPr>
      <w:rFonts w:cs="Times"/>
    </w:rPr>
  </w:style>
  <w:style w:type="paragraph" w:styleId="TOC3">
    <w:name w:val="toc 3"/>
    <w:basedOn w:val="Normal"/>
    <w:next w:val="Normal"/>
    <w:autoRedefine w:val="1"/>
    <w:semiHidden w:val="1"/>
    <w:pPr>
      <w:ind w:left="480"/>
    </w:pPr>
    <w:rPr>
      <w:rFonts w:cs="Times"/>
    </w:rPr>
  </w:style>
  <w:style w:type="paragraph" w:styleId="TOC4">
    <w:name w:val="toc 4"/>
    <w:basedOn w:val="Normal"/>
    <w:next w:val="Normal"/>
    <w:autoRedefine w:val="1"/>
    <w:semiHidden w:val="1"/>
    <w:pPr>
      <w:ind w:left="720"/>
    </w:pPr>
    <w:rPr>
      <w:rFonts w:cs="Times"/>
    </w:rPr>
  </w:style>
  <w:style w:type="paragraph" w:styleId="TOC5">
    <w:name w:val="toc 5"/>
    <w:basedOn w:val="Normal"/>
    <w:next w:val="Normal"/>
    <w:autoRedefine w:val="1"/>
    <w:semiHidden w:val="1"/>
    <w:pPr>
      <w:ind w:left="960"/>
    </w:pPr>
    <w:rPr>
      <w:rFonts w:cs="Times"/>
    </w:rPr>
  </w:style>
  <w:style w:type="paragraph" w:styleId="TOC6">
    <w:name w:val="toc 6"/>
    <w:basedOn w:val="Normal"/>
    <w:next w:val="Normal"/>
    <w:autoRedefine w:val="1"/>
    <w:semiHidden w:val="1"/>
    <w:pPr>
      <w:ind w:left="1200"/>
    </w:pPr>
    <w:rPr>
      <w:rFonts w:cs="Times"/>
    </w:rPr>
  </w:style>
  <w:style w:type="paragraph" w:styleId="TOC7">
    <w:name w:val="toc 7"/>
    <w:basedOn w:val="Normal"/>
    <w:next w:val="Normal"/>
    <w:autoRedefine w:val="1"/>
    <w:semiHidden w:val="1"/>
    <w:pPr>
      <w:ind w:left="1440"/>
    </w:pPr>
    <w:rPr>
      <w:rFonts w:cs="Times"/>
    </w:rPr>
  </w:style>
  <w:style w:type="paragraph" w:styleId="TOC8">
    <w:name w:val="toc 8"/>
    <w:basedOn w:val="Normal"/>
    <w:next w:val="Normal"/>
    <w:autoRedefine w:val="1"/>
    <w:semiHidden w:val="1"/>
    <w:pPr>
      <w:ind w:left="1680"/>
    </w:pPr>
    <w:rPr>
      <w:rFonts w:cs="Times"/>
    </w:rPr>
  </w:style>
  <w:style w:type="paragraph" w:styleId="TOC9">
    <w:name w:val="toc 9"/>
    <w:basedOn w:val="Normal"/>
    <w:next w:val="Normal"/>
    <w:autoRedefine w:val="1"/>
    <w:semiHidden w:val="1"/>
    <w:pPr>
      <w:ind w:left="1920"/>
    </w:pPr>
    <w:rPr>
      <w:rFonts w:cs="Times"/>
    </w:rPr>
  </w:style>
  <w:style w:type="character" w:styleId="SubheadinParagraph" w:customStyle="1">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val="1"/>
      <w:iCs w:val="1"/>
    </w:rPr>
  </w:style>
  <w:style w:type="paragraph" w:styleId="HTMLPreformatted">
    <w:name w:val="HTML Preformatted"/>
    <w:basedOn w:val="Normal"/>
    <w:rPr>
      <w:rFonts w:ascii="Courier New" w:cs="Courier New" w:hAnsi="Courier New"/>
      <w:sz w:val="20"/>
      <w:szCs w:val="20"/>
    </w:rPr>
  </w:style>
  <w:style w:type="paragraph" w:styleId="NormalWeb">
    <w:name w:val="Normal (Web)"/>
    <w:basedOn w:val="Normal"/>
    <w:rPr>
      <w:rFonts w:cs="Times"/>
    </w:rPr>
  </w:style>
  <w:style w:type="paragraph" w:styleId="H6" w:customStyle="1">
    <w:name w:val="H6"/>
    <w:basedOn w:val="Normal"/>
    <w:next w:val="Normal"/>
    <w:pPr>
      <w:widowControl w:val="0"/>
      <w:snapToGrid w:val="0"/>
      <w:spacing w:before="100"/>
      <w:outlineLvl w:val="6"/>
    </w:pPr>
    <w:rPr>
      <w:rFonts w:ascii="Arial" w:cs="Arial" w:hAnsi="Arial"/>
      <w:b w:val="1"/>
      <w:bCs w:val="1"/>
      <w:sz w:val="20"/>
      <w:szCs w:val="20"/>
    </w:rPr>
  </w:style>
  <w:style w:type="paragraph" w:styleId="Title2-Small" w:customStyle="1">
    <w:name w:val="Title 2 - Small"/>
    <w:next w:val="Normal"/>
    <w:pPr>
      <w:autoSpaceDE w:val="0"/>
      <w:autoSpaceDN w:val="0"/>
      <w:jc w:val="center"/>
    </w:pPr>
    <w:rPr>
      <w:rFonts w:ascii="Helvetica" w:cs="Helvetica" w:hAnsi="Helvetica"/>
      <w:b w:val="1"/>
      <w:bCs w:val="1"/>
    </w:rPr>
  </w:style>
  <w:style w:type="character" w:styleId="CommentReference">
    <w:name w:val="annotation reference"/>
    <w:basedOn w:val="DefaultParagraphFont"/>
    <w:semiHidden w:val="1"/>
    <w:rPr>
      <w:sz w:val="16"/>
      <w:szCs w:val="16"/>
    </w:rPr>
  </w:style>
  <w:style w:type="paragraph" w:styleId="QuickA" w:customStyle="1">
    <w:name w:val="Quick A."/>
    <w:basedOn w:val="Normal"/>
    <w:pPr>
      <w:widowControl w:val="0"/>
      <w:numPr>
        <w:numId w:val="15"/>
      </w:numPr>
    </w:pPr>
    <w:rPr>
      <w:rFonts w:cs="Times"/>
    </w:rPr>
  </w:style>
  <w:style w:type="paragraph" w:styleId="sbirtop" w:customStyle="1">
    <w:name w:val="sbirtop"/>
    <w:basedOn w:val="Normal"/>
    <w:pPr>
      <w:tabs>
        <w:tab w:val="num" w:pos="1440"/>
        <w:tab w:val="num" w:pos="1800"/>
      </w:tabs>
      <w:spacing w:after="240" w:before="100"/>
      <w:ind w:left="1440" w:hanging="720"/>
    </w:pPr>
    <w:rPr>
      <w:rFonts w:cs="Times"/>
    </w:rPr>
  </w:style>
  <w:style w:type="paragraph" w:styleId="ReminderList1" w:customStyle="1">
    <w:name w:val="Reminder List 1"/>
    <w:basedOn w:val="Normal"/>
    <w:pPr>
      <w:numPr>
        <w:numId w:val="13"/>
      </w:numPr>
      <w:tabs>
        <w:tab w:val="left" w:pos="360"/>
      </w:tabs>
      <w:spacing w:after="120" w:line="260" w:lineRule="atLeast"/>
    </w:pPr>
    <w:rPr>
      <w:rFonts w:ascii="Helvetica" w:cs="Helvetica" w:hAnsi="Helvetica"/>
      <w:b w:val="1"/>
      <w:bCs w:val="1"/>
      <w:color w:val="000000"/>
      <w:sz w:val="22"/>
      <w:szCs w:val="22"/>
    </w:rPr>
  </w:style>
  <w:style w:type="paragraph" w:styleId="ReminderList2" w:customStyle="1">
    <w:name w:val="Reminder List 2"/>
    <w:basedOn w:val="Normal"/>
    <w:pPr>
      <w:numPr>
        <w:numId w:val="12"/>
      </w:numPr>
      <w:tabs>
        <w:tab w:val="clear" w:pos="360"/>
        <w:tab w:val="left" w:pos="720"/>
      </w:tabs>
      <w:spacing w:after="60" w:line="260" w:lineRule="atLeast"/>
      <w:ind w:left="749"/>
    </w:pPr>
    <w:rPr>
      <w:rFonts w:ascii="Helvetica" w:cs="Helvetica" w:hAnsi="Helvetica"/>
      <w:color w:val="000000"/>
      <w:sz w:val="22"/>
      <w:szCs w:val="22"/>
    </w:rPr>
  </w:style>
  <w:style w:type="paragraph" w:styleId="ReminderList3" w:customStyle="1">
    <w:name w:val="Reminder List 3"/>
    <w:basedOn w:val="Normal"/>
    <w:pPr>
      <w:numPr>
        <w:numId w:val="14"/>
      </w:numPr>
      <w:tabs>
        <w:tab w:val="clear" w:pos="360"/>
        <w:tab w:val="left" w:pos="1080"/>
      </w:tabs>
      <w:spacing w:after="60"/>
      <w:ind w:left="1080"/>
    </w:pPr>
    <w:rPr>
      <w:rFonts w:ascii="Helvetica" w:cs="Helvetica" w:hAnsi="Helvetica"/>
      <w:sz w:val="22"/>
      <w:szCs w:val="22"/>
    </w:rPr>
  </w:style>
  <w:style w:type="character" w:styleId="Hyperlink">
    <w:name w:val="Hyperlink"/>
    <w:basedOn w:val="DefaultParagraphFont"/>
    <w:rPr>
      <w:color w:val="0000ff"/>
      <w:u w:val="single"/>
    </w:rPr>
  </w:style>
  <w:style w:type="paragraph" w:styleId="DataField10pt" w:customStyle="1">
    <w:name w:val="Data Field 10pt"/>
    <w:basedOn w:val="Normal"/>
    <w:rPr>
      <w:rFonts w:ascii="Arial" w:cs="Arial" w:hAnsi="Arial"/>
      <w:sz w:val="20"/>
      <w:szCs w:val="20"/>
    </w:rPr>
  </w:style>
  <w:style w:type="paragraph" w:styleId="DataField11pt-Single" w:customStyle="1">
    <w:name w:val="Data Field 11pt-Single"/>
    <w:basedOn w:val="Normal"/>
    <w:rsid w:val="00925D28"/>
    <w:rPr>
      <w:rFonts w:ascii="Arial" w:cs="Arial" w:hAnsi="Arial"/>
      <w:sz w:val="22"/>
      <w:szCs w:val="20"/>
    </w:rPr>
  </w:style>
  <w:style w:type="paragraph" w:styleId="FormFooter" w:customStyle="1">
    <w:name w:val="Form Footer"/>
    <w:basedOn w:val="Normal"/>
    <w:pPr>
      <w:tabs>
        <w:tab w:val="center" w:pos="5328"/>
        <w:tab w:val="right" w:pos="10728"/>
      </w:tabs>
      <w:ind w:left="58"/>
    </w:pPr>
    <w:rPr>
      <w:rFonts w:ascii="Arial" w:cs="Arial" w:hAnsi="Arial"/>
      <w:sz w:val="16"/>
      <w:szCs w:val="16"/>
    </w:rPr>
  </w:style>
  <w:style w:type="character" w:styleId="PageNumber">
    <w:name w:val="page number"/>
    <w:basedOn w:val="DefaultParagraphFont"/>
    <w:rPr>
      <w:rFonts w:ascii="Arial" w:hAnsi="Arial"/>
      <w:sz w:val="20"/>
      <w:u w:val="single"/>
    </w:rPr>
  </w:style>
  <w:style w:type="paragraph" w:styleId="PIHeader" w:customStyle="1">
    <w:name w:val="PI Header"/>
    <w:basedOn w:val="Normal"/>
    <w:pPr>
      <w:spacing w:after="40"/>
      <w:ind w:left="864"/>
    </w:pPr>
    <w:rPr>
      <w:rFonts w:ascii="Arial" w:cs="Arial" w:hAnsi="Arial"/>
      <w:noProof w:val="1"/>
      <w:sz w:val="16"/>
      <w:szCs w:val="20"/>
    </w:rPr>
  </w:style>
  <w:style w:type="paragraph" w:styleId="FormFooterBorder" w:customStyle="1">
    <w:name w:val="FormFooter/Border"/>
    <w:basedOn w:val="Footer"/>
    <w:pPr>
      <w:pBdr>
        <w:top w:color="auto" w:space="1" w:sz="6" w:val="single"/>
      </w:pBdr>
      <w:tabs>
        <w:tab w:val="clear" w:pos="4320"/>
        <w:tab w:val="clear" w:pos="8640"/>
        <w:tab w:val="center" w:pos="5400"/>
        <w:tab w:val="right" w:pos="10800"/>
      </w:tabs>
    </w:pPr>
    <w:rPr>
      <w:rFonts w:ascii="Arial" w:cs="Arial" w:hAnsi="Arial"/>
      <w:sz w:val="16"/>
      <w:szCs w:val="16"/>
    </w:rPr>
  </w:style>
  <w:style w:type="paragraph" w:styleId="BalloonText">
    <w:name w:val="Balloon Text"/>
    <w:basedOn w:val="Normal"/>
    <w:link w:val="BalloonTextChar"/>
    <w:rsid w:val="00725508"/>
    <w:rPr>
      <w:rFonts w:ascii="Segoe UI" w:cs="Segoe UI" w:hAnsi="Segoe UI"/>
      <w:sz w:val="18"/>
      <w:szCs w:val="18"/>
    </w:rPr>
  </w:style>
  <w:style w:type="character" w:styleId="BalloonTextChar" w:customStyle="1">
    <w:name w:val="Balloon Text Char"/>
    <w:basedOn w:val="DefaultParagraphFont"/>
    <w:link w:val="BalloonText"/>
    <w:rsid w:val="00725508"/>
    <w:rPr>
      <w:rFonts w:ascii="Segoe UI" w:cs="Segoe UI" w:hAnsi="Segoe UI"/>
      <w:sz w:val="18"/>
      <w:szCs w:val="18"/>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vlqjDijReKtdNgPFpyquIE2C7g==">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2013-06-24T01:11:00Z</dcterms:created>
  <dc:creator>Office of Extramural Programs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