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77255" w:rsidRDefault="00000000">
      <w:pPr>
        <w:spacing w:after="80"/>
        <w:rPr>
          <w:rFonts w:ascii="Arial" w:eastAsia="Arial" w:hAnsi="Arial" w:cs="Arial"/>
          <w:color w:val="FF0000"/>
          <w:sz w:val="22"/>
          <w:szCs w:val="22"/>
        </w:rPr>
      </w:pPr>
      <w:bookmarkStart w:id="0" w:name="_heading=h.d36w6flpqw3a" w:colFirst="0" w:colLast="0"/>
      <w:bookmarkEnd w:id="0"/>
      <w:r>
        <w:rPr>
          <w:rFonts w:ascii="Arial" w:eastAsia="Arial" w:hAnsi="Arial" w:cs="Arial"/>
          <w:b/>
          <w:sz w:val="22"/>
          <w:szCs w:val="22"/>
        </w:rPr>
        <w:t>B. Studies and Results</w:t>
      </w:r>
      <w:r>
        <w:rPr>
          <w:rFonts w:ascii="Arial" w:eastAsia="Arial" w:hAnsi="Arial" w:cs="Arial"/>
          <w:color w:val="FF0000"/>
          <w:sz w:val="22"/>
          <w:szCs w:val="22"/>
        </w:rPr>
        <w:t xml:space="preserve"> (5 pages max)</w:t>
      </w:r>
    </w:p>
    <w:p w14:paraId="00000002" w14:textId="77777777" w:rsidR="00E77255" w:rsidRDefault="00000000">
      <w:pPr>
        <w:spacing w:after="80"/>
        <w:rPr>
          <w:rFonts w:ascii="Arial" w:eastAsia="Arial" w:hAnsi="Arial" w:cs="Arial"/>
          <w:b/>
          <w:sz w:val="22"/>
          <w:szCs w:val="22"/>
          <w:u w:val="single"/>
        </w:rPr>
      </w:pPr>
      <w:bookmarkStart w:id="1" w:name="_heading=h.fr9276tro8cj" w:colFirst="0" w:colLast="0"/>
      <w:bookmarkEnd w:id="1"/>
      <w:r>
        <w:rPr>
          <w:rFonts w:ascii="Arial" w:eastAsia="Arial" w:hAnsi="Arial" w:cs="Arial"/>
          <w:b/>
          <w:sz w:val="22"/>
          <w:szCs w:val="22"/>
          <w:u w:val="single"/>
        </w:rPr>
        <w:t>In Vitro Antiviral Assay Throughput</w:t>
      </w:r>
    </w:p>
    <w:p w14:paraId="00000003" w14:textId="1CFEBE7E" w:rsidR="00E77255" w:rsidRDefault="00000000">
      <w:pPr>
        <w:spacing w:after="80"/>
        <w:jc w:val="both"/>
        <w:rPr>
          <w:rFonts w:ascii="Arial" w:eastAsia="Arial" w:hAnsi="Arial" w:cs="Arial"/>
          <w:sz w:val="22"/>
          <w:szCs w:val="22"/>
        </w:rPr>
      </w:pPr>
      <w:r>
        <w:rPr>
          <w:rFonts w:ascii="Arial" w:eastAsia="Arial" w:hAnsi="Arial" w:cs="Arial"/>
          <w:sz w:val="22"/>
          <w:szCs w:val="22"/>
        </w:rPr>
        <w:t xml:space="preserve">The Antiviral Efficacy and Resistance </w:t>
      </w:r>
      <w:proofErr w:type="spellStart"/>
      <w:r>
        <w:rPr>
          <w:rFonts w:ascii="Arial" w:eastAsia="Arial" w:hAnsi="Arial" w:cs="Arial"/>
          <w:sz w:val="22"/>
          <w:szCs w:val="22"/>
        </w:rPr>
        <w:t>Ccore</w:t>
      </w:r>
      <w:proofErr w:type="spellEnd"/>
      <w:r>
        <w:rPr>
          <w:rFonts w:ascii="Arial" w:eastAsia="Arial" w:hAnsi="Arial" w:cs="Arial"/>
          <w:sz w:val="22"/>
          <w:szCs w:val="22"/>
        </w:rPr>
        <w:t xml:space="preserve"> (Antiviral Core) is tasked with the development and standardization of antiviral assays specific to the needs of all projects in the ASAP consortium. Increasing the throughput of the primary antiviral screening assays was a primary goal in the first year of the core’s operation. These live-virus antiviral assays are one of the primary drivers of the SAR through all ASAP projects, and therefore the speed and quality</w:t>
      </w:r>
      <w:r w:rsidR="000D65CE">
        <w:rPr>
          <w:rFonts w:ascii="Arial" w:eastAsia="Arial" w:hAnsi="Arial" w:cs="Arial"/>
          <w:sz w:val="22"/>
          <w:szCs w:val="22"/>
        </w:rPr>
        <w:t xml:space="preserve"> of</w:t>
      </w:r>
      <w:r>
        <w:rPr>
          <w:rFonts w:ascii="Arial" w:eastAsia="Arial" w:hAnsi="Arial" w:cs="Arial"/>
          <w:sz w:val="22"/>
          <w:szCs w:val="22"/>
        </w:rPr>
        <w:t xml:space="preserve"> these data sets are key to the success of this core and the consortium overall. As described and funded in our initial proposal, we have designed, purchased, and installed a liquid handling robotics system for full automation of live-virus antiviral assays under BSL2 conditions, and partial automation for BSL3 and BSL3e assays. This automated system is centered around a Biomek i7 Hybrid liquid handler and a Tecan D300e Digital Drug Dispenser.</w:t>
      </w:r>
    </w:p>
    <w:p w14:paraId="00000004" w14:textId="77777777" w:rsidR="00E77255" w:rsidRDefault="00000000">
      <w:pPr>
        <w:spacing w:after="80"/>
        <w:jc w:val="both"/>
        <w:rPr>
          <w:rFonts w:ascii="Arial" w:eastAsia="Arial" w:hAnsi="Arial" w:cs="Arial"/>
          <w:sz w:val="22"/>
          <w:szCs w:val="22"/>
        </w:rPr>
      </w:pPr>
      <w:r>
        <w:rPr>
          <w:rFonts w:ascii="Arial" w:eastAsia="Arial" w:hAnsi="Arial" w:cs="Arial"/>
          <w:sz w:val="22"/>
          <w:szCs w:val="22"/>
        </w:rPr>
        <w:t xml:space="preserve">We have established end-to-end processing of our live-virus antiviral assays under BSL2 conditions, including EV-D68, EV-A71, DENV-2, ZIKV, and the attenuated rSARS-CoV-2 Δ3a/Δ7b.We have obtained the appropriate permissions from the Mount Sinai IBC and NIH to work with the attenuated rSARS-CoV-2 Δ3a/Δ7b under BSL2 conditions. Our MERS-CoV assay is partially automated for the work that can be performed outside of the BSL3e environment. This end-to-end automated processing </w:t>
      </w:r>
      <w:proofErr w:type="gramStart"/>
      <w:r>
        <w:rPr>
          <w:rFonts w:ascii="Arial" w:eastAsia="Arial" w:hAnsi="Arial" w:cs="Arial"/>
          <w:sz w:val="22"/>
          <w:szCs w:val="22"/>
        </w:rPr>
        <w:t>includes:</w:t>
      </w:r>
      <w:proofErr w:type="gramEnd"/>
      <w:r>
        <w:rPr>
          <w:rFonts w:ascii="Arial" w:eastAsia="Arial" w:hAnsi="Arial" w:cs="Arial"/>
          <w:sz w:val="22"/>
          <w:szCs w:val="22"/>
        </w:rPr>
        <w:t xml:space="preserve"> Compound addition in 8-point dose-response to 96-well plates, viral infection in 96-well format, plate washing and immunofluorescence staining for viral antigen, automated plate reading and data formatting using the onboard Cytation 1 plate cytometer to quantify infected cell percentage, and finally uploading of data to the ASAP CDD vault for automated data processing, analysis, and storage.</w:t>
      </w:r>
    </w:p>
    <w:p w14:paraId="00000005" w14:textId="77777777" w:rsidR="00E77255" w:rsidRDefault="00000000">
      <w:pPr>
        <w:spacing w:after="80"/>
        <w:jc w:val="both"/>
        <w:rPr>
          <w:rFonts w:ascii="Arial" w:eastAsia="Arial" w:hAnsi="Arial" w:cs="Arial"/>
          <w:sz w:val="22"/>
          <w:szCs w:val="22"/>
        </w:rPr>
      </w:pPr>
      <w:r>
        <w:rPr>
          <w:rFonts w:ascii="Arial" w:eastAsia="Arial" w:hAnsi="Arial" w:cs="Arial"/>
          <w:sz w:val="22"/>
          <w:szCs w:val="22"/>
        </w:rPr>
        <w:t>The end-to-end automation in 96-well format has allowed the AER core to boost antiviral efficacy throughput from ~20-30 compound batches up to 60 compound batches. We plan further improvements in our antiviral assay throughput as we miniaturize down to 384-well format, which now can be accomplished with end-to-end automation complete.</w:t>
      </w:r>
    </w:p>
    <w:p w14:paraId="00000006" w14:textId="77777777" w:rsidR="00E77255" w:rsidRDefault="00000000">
      <w:pPr>
        <w:spacing w:after="80"/>
        <w:jc w:val="both"/>
        <w:rPr>
          <w:rFonts w:ascii="Arial" w:eastAsia="Arial" w:hAnsi="Arial" w:cs="Arial"/>
          <w:b/>
          <w:sz w:val="22"/>
          <w:szCs w:val="22"/>
          <w:u w:val="single"/>
        </w:rPr>
      </w:pPr>
      <w:r>
        <w:rPr>
          <w:rFonts w:ascii="Arial" w:eastAsia="Arial" w:hAnsi="Arial" w:cs="Arial"/>
          <w:b/>
          <w:sz w:val="22"/>
          <w:szCs w:val="22"/>
          <w:u w:val="single"/>
        </w:rPr>
        <w:t>In Vitro Live-Virus Antiviral Screening</w:t>
      </w:r>
    </w:p>
    <w:p w14:paraId="00000007" w14:textId="77777777" w:rsidR="00E77255" w:rsidRDefault="00000000">
      <w:pPr>
        <w:spacing w:after="80"/>
        <w:jc w:val="both"/>
        <w:rPr>
          <w:rFonts w:ascii="Arial" w:eastAsia="Arial" w:hAnsi="Arial" w:cs="Arial"/>
          <w:sz w:val="22"/>
          <w:szCs w:val="22"/>
        </w:rPr>
      </w:pPr>
      <w:r>
        <w:rPr>
          <w:rFonts w:ascii="Arial" w:eastAsia="Arial" w:hAnsi="Arial" w:cs="Arial"/>
          <w:sz w:val="22"/>
          <w:szCs w:val="22"/>
        </w:rPr>
        <w:t xml:space="preserve">The Antiviral Core has focused its second-year effort in the development and establishment of standardized </w:t>
      </w:r>
      <w:r>
        <w:rPr>
          <w:rFonts w:ascii="Arial" w:eastAsia="Arial" w:hAnsi="Arial" w:cs="Arial"/>
          <w:i/>
          <w:sz w:val="22"/>
          <w:szCs w:val="22"/>
        </w:rPr>
        <w:t>in vitro</w:t>
      </w:r>
      <w:r>
        <w:rPr>
          <w:rFonts w:ascii="Arial" w:eastAsia="Arial" w:hAnsi="Arial" w:cs="Arial"/>
          <w:sz w:val="22"/>
          <w:szCs w:val="22"/>
        </w:rPr>
        <w:t xml:space="preserve"> live-virus antiviral assays to meet the needs of all projects in the ASAP consortium. These assays have been established and run by hand while our automated liquid handling system was under construction.</w:t>
      </w:r>
    </w:p>
    <w:p w14:paraId="00000008" w14:textId="77777777" w:rsidR="00E77255" w:rsidRDefault="00000000">
      <w:pPr>
        <w:spacing w:after="80"/>
        <w:jc w:val="both"/>
        <w:rPr>
          <w:rFonts w:ascii="Arial" w:eastAsia="Arial" w:hAnsi="Arial" w:cs="Arial"/>
          <w:b/>
          <w:sz w:val="22"/>
          <w:szCs w:val="22"/>
          <w:u w:val="single"/>
        </w:rPr>
      </w:pPr>
      <w:r>
        <w:rPr>
          <w:rFonts w:ascii="Arial" w:eastAsia="Arial" w:hAnsi="Arial" w:cs="Arial"/>
          <w:b/>
          <w:sz w:val="22"/>
          <w:szCs w:val="22"/>
          <w:u w:val="single"/>
        </w:rPr>
        <w:t>MERS-CoV/SARS-CoV-2 Mpro Protease Program</w:t>
      </w:r>
    </w:p>
    <w:p w14:paraId="00000009" w14:textId="77777777" w:rsidR="00E77255" w:rsidRDefault="00000000">
      <w:pPr>
        <w:spacing w:after="80"/>
        <w:jc w:val="both"/>
        <w:rPr>
          <w:rFonts w:ascii="Arial" w:eastAsia="Arial" w:hAnsi="Arial" w:cs="Arial"/>
          <w:sz w:val="22"/>
          <w:szCs w:val="22"/>
        </w:rPr>
      </w:pPr>
      <w:r>
        <w:rPr>
          <w:rFonts w:ascii="Arial" w:eastAsia="Arial" w:hAnsi="Arial" w:cs="Arial"/>
          <w:sz w:val="22"/>
          <w:szCs w:val="22"/>
        </w:rPr>
        <w:t xml:space="preserve">The first major lead optimization campaign undertaken by the ASAP consortium is the development of a novel coronavirus Mpro inhibitor with </w:t>
      </w:r>
      <w:r>
        <w:rPr>
          <w:rFonts w:ascii="Arial" w:eastAsia="Arial" w:hAnsi="Arial" w:cs="Arial"/>
          <w:i/>
          <w:sz w:val="22"/>
          <w:szCs w:val="22"/>
        </w:rPr>
        <w:t>in vivo</w:t>
      </w:r>
      <w:r>
        <w:rPr>
          <w:rFonts w:ascii="Arial" w:eastAsia="Arial" w:hAnsi="Arial" w:cs="Arial"/>
          <w:sz w:val="22"/>
          <w:szCs w:val="22"/>
        </w:rPr>
        <w:t xml:space="preserve"> efficacy against MERS-CoV and SARS-CoV-2. Broad-spectrum activity against MERS-CoV is poor in the current clinically approved Mpro inhibitors developed against SARS-CoV-2. Therefore, this program will provide another therapeutic to combat the ongoing SARS-CoV-2 pandemic and add what will be the first effective therapeutic against MERS-like coronaviruses to the world arsenal. Furthermore, a therapeutic with cross-MERS-CoV/SARS-CoV-2 activity will have a greater chance of broad-spectrum anti-coronavirus activity.</w:t>
      </w:r>
      <w:r>
        <w:rPr>
          <w:noProof/>
        </w:rPr>
        <w:drawing>
          <wp:anchor distT="0" distB="0" distL="114300" distR="114300" simplePos="0" relativeHeight="251658240" behindDoc="0" locked="0" layoutInCell="1" hidden="0" allowOverlap="1" wp14:anchorId="6F0A7797" wp14:editId="7F9AD05E">
            <wp:simplePos x="0" y="0"/>
            <wp:positionH relativeFrom="column">
              <wp:posOffset>5033645</wp:posOffset>
            </wp:positionH>
            <wp:positionV relativeFrom="paragraph">
              <wp:posOffset>838574</wp:posOffset>
            </wp:positionV>
            <wp:extent cx="1696928" cy="1476189"/>
            <wp:effectExtent l="0" t="0" r="0" b="0"/>
            <wp:wrapSquare wrapText="bothSides" distT="0" distB="0" distL="114300" distR="114300"/>
            <wp:docPr id="2055610286" name="image3.png" descr="A graph with black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graph with black dots&#10;&#10;Description automatically generated"/>
                    <pic:cNvPicPr preferRelativeResize="0"/>
                  </pic:nvPicPr>
                  <pic:blipFill>
                    <a:blip r:embed="rId8"/>
                    <a:srcRect/>
                    <a:stretch>
                      <a:fillRect/>
                    </a:stretch>
                  </pic:blipFill>
                  <pic:spPr>
                    <a:xfrm>
                      <a:off x="0" y="0"/>
                      <a:ext cx="1696928" cy="1476189"/>
                    </a:xfrm>
                    <a:prstGeom prst="rect">
                      <a:avLst/>
                    </a:prstGeom>
                    <a:ln/>
                  </pic:spPr>
                </pic:pic>
              </a:graphicData>
            </a:graphic>
          </wp:anchor>
        </w:drawing>
      </w:r>
    </w:p>
    <w:p w14:paraId="0000000A" w14:textId="74AB69E5" w:rsidR="00E77255" w:rsidRDefault="00000000">
      <w:pPr>
        <w:spacing w:after="80"/>
        <w:jc w:val="both"/>
        <w:rPr>
          <w:rFonts w:ascii="Arial" w:eastAsia="Arial" w:hAnsi="Arial" w:cs="Arial"/>
          <w:sz w:val="22"/>
          <w:szCs w:val="22"/>
        </w:rPr>
      </w:pPr>
      <w:r>
        <w:rPr>
          <w:rFonts w:ascii="Arial" w:eastAsia="Arial" w:hAnsi="Arial" w:cs="Arial"/>
          <w:sz w:val="22"/>
          <w:szCs w:val="22"/>
        </w:rPr>
        <w:t>Although a BSL3e maintenance shut-down lasting 4 months significantly delayed MERS-CoV assays, the Antiviral Core has screened through 364 compounds in full dose-response (</w:t>
      </w:r>
      <w:r w:rsidR="000D65CE">
        <w:rPr>
          <w:rFonts w:ascii="Arial" w:eastAsia="Arial" w:hAnsi="Arial" w:cs="Arial"/>
          <w:sz w:val="22"/>
          <w:szCs w:val="22"/>
        </w:rPr>
        <w:t>EMC2012, Vero</w:t>
      </w:r>
      <w:r w:rsidR="000D65CE">
        <w:rPr>
          <w:rFonts w:ascii="Arial" w:eastAsia="Arial" w:hAnsi="Arial" w:cs="Arial"/>
          <w:sz w:val="22"/>
          <w:szCs w:val="22"/>
        </w:rPr>
        <w:t>-TMPRSS2</w:t>
      </w:r>
      <w:r w:rsidR="000D65CE">
        <w:rPr>
          <w:rFonts w:ascii="Arial" w:eastAsia="Arial" w:hAnsi="Arial" w:cs="Arial"/>
          <w:sz w:val="22"/>
          <w:szCs w:val="22"/>
        </w:rPr>
        <w:t>,</w:t>
      </w:r>
      <w:r w:rsidR="003113E0">
        <w:rPr>
          <w:rFonts w:ascii="Arial" w:eastAsia="Arial" w:hAnsi="Arial" w:cs="Arial"/>
          <w:sz w:val="22"/>
          <w:szCs w:val="22"/>
        </w:rPr>
        <w:t xml:space="preserve"> </w:t>
      </w:r>
      <w:r w:rsidR="000D65CE">
        <w:rPr>
          <w:rFonts w:ascii="Arial" w:eastAsia="Arial" w:hAnsi="Arial" w:cs="Arial"/>
          <w:sz w:val="22"/>
          <w:szCs w:val="22"/>
        </w:rPr>
        <w:t>+</w:t>
      </w:r>
      <w:r w:rsidR="003113E0">
        <w:rPr>
          <w:rFonts w:ascii="Arial" w:eastAsia="Arial" w:hAnsi="Arial" w:cs="Arial"/>
          <w:sz w:val="22"/>
          <w:szCs w:val="22"/>
        </w:rPr>
        <w:t>P</w:t>
      </w:r>
      <w:r w:rsidR="000D65CE">
        <w:rPr>
          <w:rFonts w:ascii="Arial" w:eastAsia="Arial" w:hAnsi="Arial" w:cs="Arial"/>
          <w:sz w:val="22"/>
          <w:szCs w:val="22"/>
        </w:rPr>
        <w:t>-</w:t>
      </w:r>
      <w:proofErr w:type="spellStart"/>
      <w:r w:rsidR="000D65CE">
        <w:rPr>
          <w:rFonts w:ascii="Arial" w:eastAsia="Arial" w:hAnsi="Arial" w:cs="Arial"/>
          <w:sz w:val="22"/>
          <w:szCs w:val="22"/>
        </w:rPr>
        <w:t>gp</w:t>
      </w:r>
      <w:proofErr w:type="spellEnd"/>
      <w:r w:rsidR="000D65CE">
        <w:rPr>
          <w:rFonts w:ascii="Arial" w:eastAsia="Arial" w:hAnsi="Arial" w:cs="Arial"/>
          <w:sz w:val="22"/>
          <w:szCs w:val="22"/>
        </w:rPr>
        <w:t xml:space="preserve"> inhibitor</w:t>
      </w:r>
      <w:r w:rsidR="000D65CE">
        <w:rPr>
          <w:rFonts w:ascii="Arial" w:eastAsia="Arial" w:hAnsi="Arial" w:cs="Arial"/>
          <w:sz w:val="22"/>
          <w:szCs w:val="22"/>
        </w:rPr>
        <w:t xml:space="preserve">, </w:t>
      </w:r>
      <w:r>
        <w:rPr>
          <w:rFonts w:ascii="Arial" w:eastAsia="Arial" w:hAnsi="Arial" w:cs="Arial"/>
          <w:sz w:val="22"/>
          <w:szCs w:val="22"/>
        </w:rPr>
        <w:t>plate cytometry quantifying infected cell percentage) over the last 6 months. To manage this</w:t>
      </w:r>
      <w:r w:rsidR="000D65CE">
        <w:rPr>
          <w:rFonts w:ascii="Arial" w:eastAsia="Arial" w:hAnsi="Arial" w:cs="Arial"/>
          <w:sz w:val="22"/>
          <w:szCs w:val="22"/>
        </w:rPr>
        <w:t xml:space="preserve"> 4-month disruption</w:t>
      </w:r>
      <w:r>
        <w:rPr>
          <w:rFonts w:ascii="Arial" w:eastAsia="Arial" w:hAnsi="Arial" w:cs="Arial"/>
          <w:sz w:val="22"/>
          <w:szCs w:val="22"/>
        </w:rPr>
        <w:t>, the Antiviral Core has engaged backup capacity at both NIH Preclinical Services (</w:t>
      </w:r>
      <w:r w:rsidR="000D65CE">
        <w:rPr>
          <w:rFonts w:ascii="Arial" w:eastAsia="Arial" w:hAnsi="Arial" w:cs="Arial"/>
          <w:sz w:val="22"/>
          <w:szCs w:val="22"/>
        </w:rPr>
        <w:t xml:space="preserve">EMC2012, Vero 76, no </w:t>
      </w:r>
      <w:r w:rsidR="003113E0">
        <w:rPr>
          <w:rFonts w:ascii="Arial" w:eastAsia="Arial" w:hAnsi="Arial" w:cs="Arial"/>
          <w:sz w:val="22"/>
          <w:szCs w:val="22"/>
        </w:rPr>
        <w:t>P</w:t>
      </w:r>
      <w:r w:rsidR="000D65CE">
        <w:rPr>
          <w:rFonts w:ascii="Arial" w:eastAsia="Arial" w:hAnsi="Arial" w:cs="Arial"/>
          <w:sz w:val="22"/>
          <w:szCs w:val="22"/>
        </w:rPr>
        <w:t>-</w:t>
      </w:r>
      <w:proofErr w:type="spellStart"/>
      <w:r w:rsidR="000D65CE">
        <w:rPr>
          <w:rFonts w:ascii="Arial" w:eastAsia="Arial" w:hAnsi="Arial" w:cs="Arial"/>
          <w:sz w:val="22"/>
          <w:szCs w:val="22"/>
        </w:rPr>
        <w:t>gp</w:t>
      </w:r>
      <w:proofErr w:type="spellEnd"/>
      <w:r w:rsidR="000D65CE">
        <w:rPr>
          <w:rFonts w:ascii="Arial" w:eastAsia="Arial" w:hAnsi="Arial" w:cs="Arial"/>
          <w:sz w:val="22"/>
          <w:szCs w:val="22"/>
        </w:rPr>
        <w:t xml:space="preserve"> inhibitor, </w:t>
      </w:r>
      <w:r>
        <w:rPr>
          <w:rFonts w:ascii="Arial" w:eastAsia="Arial" w:hAnsi="Arial" w:cs="Arial"/>
          <w:sz w:val="22"/>
          <w:szCs w:val="22"/>
        </w:rPr>
        <w:t>36 compounds screened by PCS to date) and the MAVDA AViDD center (</w:t>
      </w:r>
      <w:r w:rsidR="000D65CE">
        <w:rPr>
          <w:rFonts w:ascii="Arial" w:eastAsia="Arial" w:hAnsi="Arial" w:cs="Arial"/>
          <w:sz w:val="22"/>
          <w:szCs w:val="22"/>
        </w:rPr>
        <w:t>EMC2012, Vero-TMPRSS2,</w:t>
      </w:r>
      <w:r w:rsidR="003113E0">
        <w:rPr>
          <w:rFonts w:ascii="Arial" w:eastAsia="Arial" w:hAnsi="Arial" w:cs="Arial"/>
          <w:sz w:val="22"/>
          <w:szCs w:val="22"/>
        </w:rPr>
        <w:t xml:space="preserve"> </w:t>
      </w:r>
      <w:r w:rsidR="000D65CE">
        <w:rPr>
          <w:rFonts w:ascii="Arial" w:eastAsia="Arial" w:hAnsi="Arial" w:cs="Arial"/>
          <w:sz w:val="22"/>
          <w:szCs w:val="22"/>
        </w:rPr>
        <w:t>+</w:t>
      </w:r>
      <w:r w:rsidR="003113E0">
        <w:rPr>
          <w:rFonts w:ascii="Arial" w:eastAsia="Arial" w:hAnsi="Arial" w:cs="Arial"/>
          <w:sz w:val="22"/>
          <w:szCs w:val="22"/>
        </w:rPr>
        <w:t>P</w:t>
      </w:r>
      <w:r w:rsidR="000D65CE">
        <w:rPr>
          <w:rFonts w:ascii="Arial" w:eastAsia="Arial" w:hAnsi="Arial" w:cs="Arial"/>
          <w:sz w:val="22"/>
          <w:szCs w:val="22"/>
        </w:rPr>
        <w:t>-</w:t>
      </w:r>
      <w:proofErr w:type="spellStart"/>
      <w:r w:rsidR="000D65CE">
        <w:rPr>
          <w:rFonts w:ascii="Arial" w:eastAsia="Arial" w:hAnsi="Arial" w:cs="Arial"/>
          <w:sz w:val="22"/>
          <w:szCs w:val="22"/>
        </w:rPr>
        <w:t>gp</w:t>
      </w:r>
      <w:proofErr w:type="spellEnd"/>
      <w:r w:rsidR="000D65CE">
        <w:rPr>
          <w:rFonts w:ascii="Arial" w:eastAsia="Arial" w:hAnsi="Arial" w:cs="Arial"/>
          <w:sz w:val="22"/>
          <w:szCs w:val="22"/>
        </w:rPr>
        <w:t xml:space="preserve"> inhibitor,</w:t>
      </w:r>
      <w:r w:rsidR="000D65CE">
        <w:rPr>
          <w:rFonts w:ascii="Arial" w:eastAsia="Arial" w:hAnsi="Arial" w:cs="Arial"/>
          <w:sz w:val="22"/>
          <w:szCs w:val="22"/>
        </w:rPr>
        <w:t xml:space="preserve"> </w:t>
      </w:r>
      <w:r>
        <w:rPr>
          <w:rFonts w:ascii="Arial" w:eastAsia="Arial" w:hAnsi="Arial" w:cs="Arial"/>
          <w:sz w:val="22"/>
          <w:szCs w:val="22"/>
        </w:rPr>
        <w:t>424 compounds screened to date) as two secondary MERS-CoV screening sites to provide bridging capacity during the 4-month shutdown and to supplement Antiviral Core MERS-CoV screening capacity since it has been reinstated. Comparing the 82 compounds which have duplicates screened at both the Antiviral Core and MAVDA, we see a strong correlation (R</w:t>
      </w:r>
      <w:r>
        <w:rPr>
          <w:rFonts w:ascii="Arial" w:eastAsia="Arial" w:hAnsi="Arial" w:cs="Arial"/>
          <w:sz w:val="22"/>
          <w:szCs w:val="22"/>
          <w:vertAlign w:val="superscript"/>
        </w:rPr>
        <w:t>2</w:t>
      </w:r>
      <w:r>
        <w:rPr>
          <w:rFonts w:ascii="Arial" w:eastAsia="Arial" w:hAnsi="Arial" w:cs="Arial"/>
          <w:sz w:val="22"/>
          <w:szCs w:val="22"/>
        </w:rPr>
        <w:t xml:space="preserve">=0.82) of EC50s from the two data sets </w:t>
      </w:r>
      <w:r>
        <w:rPr>
          <w:rFonts w:ascii="Arial" w:eastAsia="Arial" w:hAnsi="Arial" w:cs="Arial"/>
          <w:b/>
          <w:sz w:val="22"/>
          <w:szCs w:val="22"/>
        </w:rPr>
        <w:t>(Fig. 1)</w:t>
      </w:r>
      <w:r>
        <w:rPr>
          <w:rFonts w:ascii="Arial" w:eastAsia="Arial" w:hAnsi="Arial" w:cs="Arial"/>
          <w:sz w:val="22"/>
          <w:szCs w:val="22"/>
        </w:rPr>
        <w:t xml:space="preserve">. The EC50s had an average of 2.22-fold difference across the entire data sets. </w:t>
      </w:r>
      <w:sdt>
        <w:sdtPr>
          <w:tag w:val="goog_rdk_0"/>
          <w:id w:val="-723975630"/>
        </w:sdtPr>
        <w:sdtContent>
          <w:commentRangeStart w:id="2"/>
        </w:sdtContent>
      </w:sdt>
      <w:r>
        <w:rPr>
          <w:rFonts w:ascii="Arial" w:eastAsia="Arial" w:hAnsi="Arial" w:cs="Arial"/>
          <w:sz w:val="22"/>
          <w:szCs w:val="22"/>
        </w:rPr>
        <w:t xml:space="preserve">This strong correlation between data sets generated in two similar, but not identical, assays performed in separate laboratories yielded significant progress in this SAR campaign. </w:t>
      </w:r>
      <w:commentRangeEnd w:id="2"/>
      <w:r>
        <w:commentReference w:id="2"/>
      </w:r>
      <w:r>
        <w:rPr>
          <w:noProof/>
        </w:rPr>
        <mc:AlternateContent>
          <mc:Choice Requires="wpg">
            <w:drawing>
              <wp:anchor distT="0" distB="0" distL="114300" distR="114300" simplePos="0" relativeHeight="251659264" behindDoc="0" locked="0" layoutInCell="1" hidden="0" allowOverlap="1" wp14:anchorId="7138915E" wp14:editId="222DC0A8">
                <wp:simplePos x="0" y="0"/>
                <wp:positionH relativeFrom="column">
                  <wp:posOffset>4940300</wp:posOffset>
                </wp:positionH>
                <wp:positionV relativeFrom="paragraph">
                  <wp:posOffset>1104900</wp:posOffset>
                </wp:positionV>
                <wp:extent cx="1831975" cy="453390"/>
                <wp:effectExtent l="0" t="0" r="0" b="0"/>
                <wp:wrapSquare wrapText="bothSides" distT="0" distB="0" distL="114300" distR="114300"/>
                <wp:docPr id="2055610281" name="Rectangle 2055610281"/>
                <wp:cNvGraphicFramePr/>
                <a:graphic xmlns:a="http://schemas.openxmlformats.org/drawingml/2006/main">
                  <a:graphicData uri="http://schemas.microsoft.com/office/word/2010/wordprocessingShape">
                    <wps:wsp>
                      <wps:cNvSpPr/>
                      <wps:spPr>
                        <a:xfrm>
                          <a:off x="4434775" y="3558068"/>
                          <a:ext cx="1822450" cy="443865"/>
                        </a:xfrm>
                        <a:prstGeom prst="rect">
                          <a:avLst/>
                        </a:prstGeom>
                        <a:solidFill>
                          <a:srgbClr val="FFFFFF"/>
                        </a:solidFill>
                        <a:ln>
                          <a:noFill/>
                        </a:ln>
                      </wps:spPr>
                      <wps:txbx>
                        <w:txbxContent>
                          <w:p w14:paraId="2BE325F9" w14:textId="77777777" w:rsidR="00E77255" w:rsidRDefault="00000000">
                            <w:pPr>
                              <w:spacing w:before="120" w:after="120"/>
                              <w:textDirection w:val="btLr"/>
                            </w:pPr>
                            <w:proofErr w:type="gramStart"/>
                            <w:r>
                              <w:rPr>
                                <w:rFonts w:ascii="Arial" w:eastAsia="Arial" w:hAnsi="Arial" w:cs="Arial"/>
                                <w:b/>
                                <w:color w:val="000000"/>
                                <w:sz w:val="16"/>
                              </w:rPr>
                              <w:t>Figure  SEQ</w:t>
                            </w:r>
                            <w:proofErr w:type="gramEnd"/>
                            <w:r>
                              <w:rPr>
                                <w:rFonts w:ascii="Arial" w:eastAsia="Arial" w:hAnsi="Arial" w:cs="Arial"/>
                                <w:b/>
                                <w:color w:val="000000"/>
                                <w:sz w:val="16"/>
                              </w:rPr>
                              <w:t xml:space="preserve"> Figure \* ARABIC 1. Correlation of MERS-CoV EC50s generated at the AER (Mt Sinai) and MAVDA screening sites.</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4940300</wp:posOffset>
                </wp:positionH>
                <wp:positionV relativeFrom="paragraph">
                  <wp:posOffset>1104900</wp:posOffset>
                </wp:positionV>
                <wp:extent cx="1831975" cy="453390"/>
                <wp:effectExtent b="0" l="0" r="0" t="0"/>
                <wp:wrapSquare wrapText="bothSides" distB="0" distT="0" distL="114300" distR="114300"/>
                <wp:docPr id="2055610281"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1831975" cy="453390"/>
                        </a:xfrm>
                        <a:prstGeom prst="rect"/>
                        <a:ln/>
                      </pic:spPr>
                    </pic:pic>
                  </a:graphicData>
                </a:graphic>
              </wp:anchor>
            </w:drawing>
          </mc:Fallback>
        </mc:AlternateContent>
      </w:r>
    </w:p>
    <w:p w14:paraId="0000000B" w14:textId="2818A169" w:rsidR="00E77255" w:rsidRDefault="00000000">
      <w:pPr>
        <w:spacing w:after="80"/>
        <w:jc w:val="both"/>
        <w:rPr>
          <w:rFonts w:ascii="Arial" w:eastAsia="Arial" w:hAnsi="Arial" w:cs="Arial"/>
          <w:sz w:val="22"/>
          <w:szCs w:val="22"/>
        </w:rPr>
      </w:pPr>
      <w:r>
        <w:rPr>
          <w:rFonts w:ascii="Arial" w:eastAsia="Arial" w:hAnsi="Arial" w:cs="Arial"/>
          <w:sz w:val="22"/>
          <w:szCs w:val="22"/>
        </w:rPr>
        <w:lastRenderedPageBreak/>
        <w:t>In the process of establishing the Antiviral Core MERS-CoV antiviral assay in Vero-TMPRSS2 cells and discussions with the MAVDA AViDD center, we identified that this cell line has an extremely high expression level of P-glycoprotein (P-</w:t>
      </w:r>
      <w:proofErr w:type="spellStart"/>
      <w:r>
        <w:rPr>
          <w:rFonts w:ascii="Arial" w:eastAsia="Arial" w:hAnsi="Arial" w:cs="Arial"/>
          <w:sz w:val="22"/>
          <w:szCs w:val="22"/>
        </w:rPr>
        <w:t>gp</w:t>
      </w:r>
      <w:proofErr w:type="spellEnd"/>
      <w:r>
        <w:rPr>
          <w:rFonts w:ascii="Arial" w:eastAsia="Arial" w:hAnsi="Arial" w:cs="Arial"/>
          <w:sz w:val="22"/>
          <w:szCs w:val="22"/>
        </w:rPr>
        <w:t>). Therefore, we have elected to run all antiviral assays in the Vero-TMPRSS2 cell line with 2 µM Elacridar to inhibit P-</w:t>
      </w:r>
      <w:proofErr w:type="spellStart"/>
      <w:r>
        <w:rPr>
          <w:rFonts w:ascii="Arial" w:eastAsia="Arial" w:hAnsi="Arial" w:cs="Arial"/>
          <w:sz w:val="22"/>
          <w:szCs w:val="22"/>
        </w:rPr>
        <w:t>gp</w:t>
      </w:r>
      <w:proofErr w:type="spellEnd"/>
      <w:r>
        <w:rPr>
          <w:rFonts w:ascii="Arial" w:eastAsia="Arial" w:hAnsi="Arial" w:cs="Arial"/>
          <w:sz w:val="22"/>
          <w:szCs w:val="22"/>
        </w:rPr>
        <w:t xml:space="preserve"> to aim to provide better predictive value of </w:t>
      </w:r>
      <w:r>
        <w:rPr>
          <w:rFonts w:ascii="Arial" w:eastAsia="Arial" w:hAnsi="Arial" w:cs="Arial"/>
          <w:i/>
          <w:sz w:val="22"/>
          <w:szCs w:val="22"/>
        </w:rPr>
        <w:t xml:space="preserve">in vivo </w:t>
      </w:r>
      <w:r>
        <w:rPr>
          <w:rFonts w:ascii="Arial" w:eastAsia="Arial" w:hAnsi="Arial" w:cs="Arial"/>
          <w:sz w:val="22"/>
          <w:szCs w:val="22"/>
        </w:rPr>
        <w:t>activity. The Antiviral Core also runs Elacridar-free antiviral assays as a metric to assess the status of lead compounds as P-</w:t>
      </w:r>
      <w:proofErr w:type="spellStart"/>
      <w:r>
        <w:rPr>
          <w:rFonts w:ascii="Arial" w:eastAsia="Arial" w:hAnsi="Arial" w:cs="Arial"/>
          <w:sz w:val="22"/>
          <w:szCs w:val="22"/>
        </w:rPr>
        <w:t>gp</w:t>
      </w:r>
      <w:proofErr w:type="spellEnd"/>
      <w:r>
        <w:rPr>
          <w:rFonts w:ascii="Arial" w:eastAsia="Arial" w:hAnsi="Arial" w:cs="Arial"/>
          <w:sz w:val="22"/>
          <w:szCs w:val="22"/>
        </w:rPr>
        <w:t xml:space="preserve"> substrates as part of our ADMET anal</w:t>
      </w:r>
      <w:sdt>
        <w:sdtPr>
          <w:tag w:val="goog_rdk_1"/>
          <w:id w:val="-2006427216"/>
        </w:sdtPr>
        <w:sdtContent>
          <w:commentRangeStart w:id="3"/>
        </w:sdtContent>
      </w:sdt>
      <w:r>
        <w:rPr>
          <w:rFonts w:ascii="Arial" w:eastAsia="Arial" w:hAnsi="Arial" w:cs="Arial"/>
          <w:sz w:val="22"/>
          <w:szCs w:val="22"/>
        </w:rPr>
        <w:t>ysis.</w:t>
      </w:r>
      <w:commentRangeEnd w:id="3"/>
      <w:r>
        <w:commentReference w:id="3"/>
      </w:r>
      <w:r w:rsidR="00D52BC1">
        <w:rPr>
          <w:rFonts w:ascii="Arial" w:eastAsia="Arial" w:hAnsi="Arial" w:cs="Arial"/>
          <w:sz w:val="22"/>
          <w:szCs w:val="22"/>
        </w:rPr>
        <w:t xml:space="preserve"> The AER also continues to counter screen against SARS-CoV-2/WA1 in HeLa-ACE2 without P-</w:t>
      </w:r>
      <w:proofErr w:type="spellStart"/>
      <w:r w:rsidR="00D52BC1">
        <w:rPr>
          <w:rFonts w:ascii="Arial" w:eastAsia="Arial" w:hAnsi="Arial" w:cs="Arial"/>
          <w:sz w:val="22"/>
          <w:szCs w:val="22"/>
        </w:rPr>
        <w:t>gp</w:t>
      </w:r>
      <w:proofErr w:type="spellEnd"/>
      <w:r w:rsidR="00D52BC1">
        <w:rPr>
          <w:rFonts w:ascii="Arial" w:eastAsia="Arial" w:hAnsi="Arial" w:cs="Arial"/>
          <w:sz w:val="22"/>
          <w:szCs w:val="22"/>
        </w:rPr>
        <w:t xml:space="preserve"> inhibitor</w:t>
      </w:r>
      <w:r w:rsidR="0091206A">
        <w:rPr>
          <w:rFonts w:ascii="Arial" w:eastAsia="Arial" w:hAnsi="Arial" w:cs="Arial"/>
          <w:sz w:val="22"/>
          <w:szCs w:val="22"/>
        </w:rPr>
        <w:t xml:space="preserve"> (Table 1) to ensure broad-spectrum anti-coronavirus activity is maintained in the lead series. Over the last year the AER has screened a total of 939 compounds in the SARS-CoV-2 antiviral assay</w:t>
      </w:r>
      <w:r w:rsidR="00D52BC1">
        <w:rPr>
          <w:rFonts w:ascii="Arial" w:eastAsia="Arial" w:hAnsi="Arial" w:cs="Arial"/>
          <w:sz w:val="22"/>
          <w:szCs w:val="22"/>
        </w:rPr>
        <w:t xml:space="preserve">. </w:t>
      </w:r>
    </w:p>
    <w:p w14:paraId="0000000C" w14:textId="77777777" w:rsidR="00E77255" w:rsidRDefault="00000000">
      <w:pPr>
        <w:jc w:val="both"/>
        <w:rPr>
          <w:rFonts w:ascii="Arial" w:eastAsia="Arial" w:hAnsi="Arial" w:cs="Arial"/>
          <w:sz w:val="22"/>
          <w:szCs w:val="22"/>
        </w:rPr>
      </w:pPr>
      <w:r>
        <w:rPr>
          <w:rFonts w:ascii="Arial" w:eastAsia="Arial" w:hAnsi="Arial" w:cs="Arial"/>
          <w:b/>
          <w:sz w:val="22"/>
          <w:szCs w:val="22"/>
        </w:rPr>
        <w:t>The top 20 compounds, ranked by MERS-CoV EC50, of that SAR campaign can be found in Table 1. Through close collaboration between Project 5 (Lead opt), the Biochemical Core, and the AER, we have removed inefficiencies and improved assay cycle times within the ASAP center. This has led to rapid and significant progression in the potency of our lead chemical scaffolds targeting both the MERS-CoV and SARS-CoV-2 Mpro active sites simultaneously. We have identified 5 analogs with EC50s below 23.5 nM against both MERS-CoV and SARS-CoV-2, significantly outperforming nirmatrelvir in our live-virus assays.</w:t>
      </w:r>
      <w:r>
        <w:rPr>
          <w:rFonts w:ascii="Arial" w:eastAsia="Arial" w:hAnsi="Arial" w:cs="Arial"/>
          <w:sz w:val="22"/>
          <w:szCs w:val="22"/>
        </w:rPr>
        <w:t xml:space="preserve"> Furthermore, these compounds have been significantly optimized for ADMET properties. The report for Project 5 (Lead </w:t>
      </w:r>
      <w:proofErr w:type="gramStart"/>
      <w:r>
        <w:rPr>
          <w:rFonts w:ascii="Arial" w:eastAsia="Arial" w:hAnsi="Arial" w:cs="Arial"/>
          <w:sz w:val="22"/>
          <w:szCs w:val="22"/>
        </w:rPr>
        <w:t>opt</w:t>
      </w:r>
      <w:proofErr w:type="gramEnd"/>
      <w:r>
        <w:rPr>
          <w:rFonts w:ascii="Arial" w:eastAsia="Arial" w:hAnsi="Arial" w:cs="Arial"/>
          <w:sz w:val="22"/>
          <w:szCs w:val="22"/>
        </w:rPr>
        <w:t>) can be referenced for the pharmacokinetic analysis of ASAP-0016506, which is well tolerated in mice at dosages up to 450 mg/kg PO BID and shows significant plasma stability that indicates coverage of 5x EC50 is obtainable with a significantly lower dosage. We are now finalizing conditions for a MERS-CoV animal efficacy experiment within the next month testing multiple dosage levels of ASAP-0016506.</w:t>
      </w:r>
    </w:p>
    <w:p w14:paraId="0000000D" w14:textId="2D92600E" w:rsidR="00E77255" w:rsidRDefault="00000000">
      <w:pPr>
        <w:spacing w:after="80"/>
        <w:jc w:val="both"/>
        <w:rPr>
          <w:rFonts w:ascii="Arial" w:eastAsia="Arial" w:hAnsi="Arial" w:cs="Arial"/>
          <w:sz w:val="22"/>
          <w:szCs w:val="22"/>
          <w:u w:val="single"/>
        </w:rPr>
      </w:pPr>
      <w:r>
        <w:rPr>
          <w:rFonts w:ascii="Arial" w:eastAsia="Arial" w:hAnsi="Arial" w:cs="Arial"/>
          <w:b/>
          <w:sz w:val="22"/>
          <w:szCs w:val="22"/>
          <w:u w:val="single"/>
        </w:rPr>
        <w:t>SARS-CoV-2 Nucl</w:t>
      </w:r>
      <w:r w:rsidR="0091206A">
        <w:rPr>
          <w:rFonts w:ascii="Arial" w:eastAsia="Arial" w:hAnsi="Arial" w:cs="Arial"/>
          <w:b/>
          <w:sz w:val="22"/>
          <w:szCs w:val="22"/>
          <w:u w:val="single"/>
        </w:rPr>
        <w:t>e</w:t>
      </w:r>
      <w:r>
        <w:rPr>
          <w:rFonts w:ascii="Arial" w:eastAsia="Arial" w:hAnsi="Arial" w:cs="Arial"/>
          <w:b/>
          <w:sz w:val="22"/>
          <w:szCs w:val="22"/>
          <w:u w:val="single"/>
        </w:rPr>
        <w:t>ocapsid Program</w:t>
      </w:r>
      <w:r>
        <w:rPr>
          <w:noProof/>
        </w:rPr>
        <mc:AlternateContent>
          <mc:Choice Requires="wpg">
            <w:drawing>
              <wp:anchor distT="0" distB="0" distL="114300" distR="114300" simplePos="0" relativeHeight="251660288" behindDoc="0" locked="0" layoutInCell="1" hidden="0" allowOverlap="1" wp14:anchorId="5044AA19" wp14:editId="753E5C57">
                <wp:simplePos x="0" y="0"/>
                <wp:positionH relativeFrom="column">
                  <wp:posOffset>1</wp:posOffset>
                </wp:positionH>
                <wp:positionV relativeFrom="paragraph">
                  <wp:posOffset>0</wp:posOffset>
                </wp:positionV>
                <wp:extent cx="3162300" cy="1539789"/>
                <wp:effectExtent l="0" t="0" r="0" b="0"/>
                <wp:wrapSquare wrapText="bothSides" distT="0" distB="0" distL="114300" distR="114300"/>
                <wp:docPr id="2055610277" name="Rectangle 2055610277"/>
                <wp:cNvGraphicFramePr/>
                <a:graphic xmlns:a="http://schemas.openxmlformats.org/drawingml/2006/main">
                  <a:graphicData uri="http://schemas.microsoft.com/office/word/2010/wordprocessingShape">
                    <wps:wsp>
                      <wps:cNvSpPr/>
                      <wps:spPr>
                        <a:xfrm>
                          <a:off x="3771200" y="2865600"/>
                          <a:ext cx="3149600" cy="1828800"/>
                        </a:xfrm>
                        <a:prstGeom prst="rect">
                          <a:avLst/>
                        </a:prstGeom>
                        <a:noFill/>
                        <a:ln w="9525" cap="flat" cmpd="sng">
                          <a:solidFill>
                            <a:srgbClr val="000000"/>
                          </a:solidFill>
                          <a:prstDash val="solid"/>
                          <a:round/>
                          <a:headEnd type="none" w="sm" len="sm"/>
                          <a:tailEnd type="none" w="sm" len="sm"/>
                        </a:ln>
                      </wps:spPr>
                      <wps:txbx>
                        <w:txbxContent>
                          <w:p w14:paraId="7A5FF6C2" w14:textId="77777777" w:rsidR="00E77255" w:rsidRDefault="00000000">
                            <w:pPr>
                              <w:textDirection w:val="btLr"/>
                            </w:pPr>
                            <w:r>
                              <w:rPr>
                                <w:rFonts w:ascii="Arial" w:eastAsia="Arial" w:hAnsi="Arial" w:cs="Arial"/>
                                <w:b/>
                                <w:i/>
                                <w:color w:val="000000"/>
                                <w:sz w:val="16"/>
                              </w:rPr>
                              <w:t>Table 1. Top 20 most potent inhibitors from the ASAP MERS-CoV/SARS-CoV-2 Mpro program in live-virus cell-based assays. EC</w:t>
                            </w:r>
                            <w:r>
                              <w:rPr>
                                <w:rFonts w:ascii="Arial" w:eastAsia="Arial" w:hAnsi="Arial" w:cs="Arial"/>
                                <w:b/>
                                <w:i/>
                                <w:color w:val="000000"/>
                                <w:sz w:val="16"/>
                                <w:vertAlign w:val="subscript"/>
                              </w:rPr>
                              <w:t>50</w:t>
                            </w:r>
                            <w:r>
                              <w:rPr>
                                <w:rFonts w:ascii="Arial" w:eastAsia="Arial" w:hAnsi="Arial" w:cs="Arial"/>
                                <w:b/>
                                <w:i/>
                                <w:color w:val="000000"/>
                                <w:sz w:val="16"/>
                              </w:rPr>
                              <w:t>s are reported as the geometric mean of a minimum of two independent experiments run in triplicate in the AER live-virus antiviral assay (MERS-CoV/EMC2012 MOI 0.25, Vero-TMPRSS2 infection 24 hours.)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162300" cy="1539789"/>
                <wp:effectExtent b="0" l="0" r="0" t="0"/>
                <wp:wrapSquare wrapText="bothSides" distB="0" distT="0" distL="114300" distR="114300"/>
                <wp:docPr id="205561027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3162300" cy="1539789"/>
                        </a:xfrm>
                        <a:prstGeom prst="rect"/>
                        <a:ln/>
                      </pic:spPr>
                    </pic:pic>
                  </a:graphicData>
                </a:graphic>
              </wp:anchor>
            </w:drawing>
          </mc:Fallback>
        </mc:AlternateContent>
      </w:r>
    </w:p>
    <w:tbl>
      <w:tblPr>
        <w:tblStyle w:val="a"/>
        <w:tblpPr w:leftFromText="187" w:rightFromText="187" w:vertAnchor="text" w:tblpY="1016"/>
        <w:tblW w:w="494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615"/>
        <w:gridCol w:w="830"/>
        <w:gridCol w:w="779"/>
        <w:gridCol w:w="941"/>
        <w:gridCol w:w="779"/>
      </w:tblGrid>
      <w:tr w:rsidR="00E77255" w14:paraId="4E8A6EE1" w14:textId="77777777" w:rsidTr="00E77255">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615" w:type="dxa"/>
            <w:tcBorders>
              <w:right w:val="single" w:sz="4" w:space="0" w:color="A5A5A5"/>
            </w:tcBorders>
            <w:shd w:val="clear" w:color="auto" w:fill="auto"/>
          </w:tcPr>
          <w:p w14:paraId="0000000E" w14:textId="77777777" w:rsidR="00E77255" w:rsidRDefault="00E77255">
            <w:pPr>
              <w:spacing w:after="80"/>
              <w:jc w:val="both"/>
              <w:rPr>
                <w:rFonts w:ascii="Arial" w:eastAsia="Arial" w:hAnsi="Arial" w:cs="Arial"/>
                <w:color w:val="000000"/>
                <w:sz w:val="22"/>
                <w:szCs w:val="22"/>
              </w:rPr>
            </w:pPr>
          </w:p>
        </w:tc>
        <w:tc>
          <w:tcPr>
            <w:tcW w:w="1609" w:type="dxa"/>
            <w:gridSpan w:val="2"/>
            <w:tcBorders>
              <w:top w:val="single" w:sz="4" w:space="0" w:color="A5A5A5"/>
              <w:left w:val="single" w:sz="4" w:space="0" w:color="A5A5A5"/>
              <w:bottom w:val="single" w:sz="4" w:space="0" w:color="A5A5A5"/>
              <w:right w:val="single" w:sz="4" w:space="0" w:color="A5A5A5"/>
            </w:tcBorders>
            <w:shd w:val="clear" w:color="auto" w:fill="auto"/>
          </w:tcPr>
          <w:p w14:paraId="0000000F" w14:textId="77777777" w:rsidR="00E77255" w:rsidRDefault="00000000">
            <w:pPr>
              <w:spacing w:after="8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color w:val="000000"/>
                <w:sz w:val="22"/>
                <w:szCs w:val="22"/>
              </w:rPr>
              <w:t>MERS-CoV Vero-TMPRSS2</w:t>
            </w:r>
          </w:p>
        </w:tc>
        <w:tc>
          <w:tcPr>
            <w:tcW w:w="1720" w:type="dxa"/>
            <w:gridSpan w:val="2"/>
            <w:tcBorders>
              <w:top w:val="single" w:sz="4" w:space="0" w:color="A5A5A5"/>
              <w:left w:val="single" w:sz="4" w:space="0" w:color="A5A5A5"/>
              <w:bottom w:val="single" w:sz="4" w:space="0" w:color="A5A5A5"/>
              <w:right w:val="single" w:sz="4" w:space="0" w:color="A5A5A5"/>
            </w:tcBorders>
            <w:shd w:val="clear" w:color="auto" w:fill="auto"/>
          </w:tcPr>
          <w:p w14:paraId="00000011" w14:textId="77777777" w:rsidR="00E77255" w:rsidRDefault="00000000">
            <w:pPr>
              <w:spacing w:after="8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color w:val="000000"/>
                <w:sz w:val="22"/>
                <w:szCs w:val="22"/>
              </w:rPr>
              <w:t>SARS-CoV-2 HeLa-ACE2</w:t>
            </w:r>
          </w:p>
        </w:tc>
      </w:tr>
      <w:tr w:rsidR="00E77255" w14:paraId="13A86E1A" w14:textId="77777777" w:rsidTr="00E77255">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00000013" w14:textId="77777777" w:rsidR="00E77255" w:rsidRDefault="00000000">
            <w:pPr>
              <w:spacing w:after="80"/>
              <w:jc w:val="both"/>
              <w:rPr>
                <w:rFonts w:ascii="Arial" w:eastAsia="Arial" w:hAnsi="Arial" w:cs="Arial"/>
                <w:sz w:val="22"/>
                <w:szCs w:val="22"/>
              </w:rPr>
            </w:pPr>
            <w:sdt>
              <w:sdtPr>
                <w:tag w:val="goog_rdk_2"/>
                <w:id w:val="1603841508"/>
              </w:sdtPr>
              <w:sdtContent>
                <w:commentRangeStart w:id="4"/>
              </w:sdtContent>
            </w:sdt>
            <w:r>
              <w:rPr>
                <w:rFonts w:ascii="Arial" w:eastAsia="Arial" w:hAnsi="Arial" w:cs="Arial"/>
                <w:sz w:val="22"/>
                <w:szCs w:val="22"/>
              </w:rPr>
              <w:t>Molecule Name</w:t>
            </w:r>
            <w:commentRangeEnd w:id="4"/>
            <w:r>
              <w:commentReference w:id="4"/>
            </w:r>
          </w:p>
        </w:tc>
        <w:tc>
          <w:tcPr>
            <w:tcW w:w="830" w:type="dxa"/>
            <w:tcBorders>
              <w:top w:val="single" w:sz="4" w:space="0" w:color="A5A5A5"/>
            </w:tcBorders>
            <w:shd w:val="clear" w:color="auto" w:fill="auto"/>
          </w:tcPr>
          <w:p w14:paraId="00000014"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rFonts w:ascii="Arial" w:eastAsia="Arial" w:hAnsi="Arial" w:cs="Arial"/>
                <w:b/>
                <w:sz w:val="22"/>
                <w:szCs w:val="22"/>
              </w:rPr>
              <w:t>EC50 (µM)</w:t>
            </w:r>
          </w:p>
        </w:tc>
        <w:tc>
          <w:tcPr>
            <w:tcW w:w="779" w:type="dxa"/>
            <w:tcBorders>
              <w:top w:val="single" w:sz="4" w:space="0" w:color="A5A5A5"/>
            </w:tcBorders>
            <w:shd w:val="clear" w:color="auto" w:fill="auto"/>
          </w:tcPr>
          <w:p w14:paraId="00000015"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rFonts w:ascii="Arial" w:eastAsia="Arial" w:hAnsi="Arial" w:cs="Arial"/>
                <w:b/>
                <w:sz w:val="22"/>
                <w:szCs w:val="22"/>
              </w:rPr>
              <w:t>CC50 (µM)</w:t>
            </w:r>
          </w:p>
        </w:tc>
        <w:tc>
          <w:tcPr>
            <w:tcW w:w="941" w:type="dxa"/>
            <w:tcBorders>
              <w:top w:val="single" w:sz="4" w:space="0" w:color="A5A5A5"/>
            </w:tcBorders>
            <w:shd w:val="clear" w:color="auto" w:fill="auto"/>
          </w:tcPr>
          <w:p w14:paraId="00000016"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rFonts w:ascii="Arial" w:eastAsia="Arial" w:hAnsi="Arial" w:cs="Arial"/>
                <w:b/>
                <w:sz w:val="22"/>
                <w:szCs w:val="22"/>
              </w:rPr>
              <w:t>EC50 (µM)</w:t>
            </w:r>
          </w:p>
        </w:tc>
        <w:tc>
          <w:tcPr>
            <w:tcW w:w="779" w:type="dxa"/>
            <w:tcBorders>
              <w:top w:val="single" w:sz="4" w:space="0" w:color="A5A5A5"/>
            </w:tcBorders>
            <w:shd w:val="clear" w:color="auto" w:fill="auto"/>
          </w:tcPr>
          <w:p w14:paraId="00000017"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rFonts w:ascii="Arial" w:eastAsia="Arial" w:hAnsi="Arial" w:cs="Arial"/>
                <w:b/>
                <w:sz w:val="22"/>
                <w:szCs w:val="22"/>
              </w:rPr>
              <w:t>CC50 (µM)</w:t>
            </w:r>
          </w:p>
        </w:tc>
      </w:tr>
      <w:tr w:rsidR="00E77255" w14:paraId="3F949FB5"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18" w14:textId="77777777" w:rsidR="00E77255" w:rsidRDefault="00000000">
            <w:pPr>
              <w:spacing w:after="80"/>
              <w:jc w:val="both"/>
              <w:rPr>
                <w:rFonts w:ascii="Arial" w:eastAsia="Arial" w:hAnsi="Arial" w:cs="Arial"/>
                <w:sz w:val="22"/>
                <w:szCs w:val="22"/>
              </w:rPr>
            </w:pPr>
            <w:r>
              <w:rPr>
                <w:color w:val="000000"/>
                <w:sz w:val="22"/>
                <w:szCs w:val="22"/>
              </w:rPr>
              <w:t>ASAP-0017238</w:t>
            </w:r>
          </w:p>
        </w:tc>
        <w:tc>
          <w:tcPr>
            <w:tcW w:w="830" w:type="dxa"/>
          </w:tcPr>
          <w:p w14:paraId="00000019"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0.0154</w:t>
            </w:r>
          </w:p>
        </w:tc>
        <w:tc>
          <w:tcPr>
            <w:tcW w:w="779" w:type="dxa"/>
          </w:tcPr>
          <w:p w14:paraId="0000001A"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5.00</w:t>
            </w:r>
          </w:p>
        </w:tc>
        <w:tc>
          <w:tcPr>
            <w:tcW w:w="941" w:type="dxa"/>
          </w:tcPr>
          <w:p w14:paraId="0000001B"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0.00913</w:t>
            </w:r>
          </w:p>
        </w:tc>
        <w:tc>
          <w:tcPr>
            <w:tcW w:w="779" w:type="dxa"/>
          </w:tcPr>
          <w:p w14:paraId="0000001C"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10.0</w:t>
            </w:r>
          </w:p>
        </w:tc>
      </w:tr>
      <w:tr w:rsidR="00E77255" w14:paraId="43BFA870"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1D" w14:textId="77777777" w:rsidR="00E77255" w:rsidRDefault="00000000">
            <w:pPr>
              <w:spacing w:after="80"/>
              <w:jc w:val="both"/>
              <w:rPr>
                <w:rFonts w:ascii="Arial" w:eastAsia="Arial" w:hAnsi="Arial" w:cs="Arial"/>
                <w:sz w:val="22"/>
                <w:szCs w:val="22"/>
              </w:rPr>
            </w:pPr>
            <w:r>
              <w:rPr>
                <w:color w:val="000000"/>
                <w:sz w:val="22"/>
                <w:szCs w:val="22"/>
              </w:rPr>
              <w:t>ASAP-0016506</w:t>
            </w:r>
          </w:p>
        </w:tc>
        <w:tc>
          <w:tcPr>
            <w:tcW w:w="830" w:type="dxa"/>
          </w:tcPr>
          <w:p w14:paraId="0000001E"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0.0161</w:t>
            </w:r>
          </w:p>
        </w:tc>
        <w:tc>
          <w:tcPr>
            <w:tcW w:w="779" w:type="dxa"/>
          </w:tcPr>
          <w:p w14:paraId="0000001F"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5.00</w:t>
            </w:r>
          </w:p>
        </w:tc>
        <w:tc>
          <w:tcPr>
            <w:tcW w:w="941" w:type="dxa"/>
          </w:tcPr>
          <w:p w14:paraId="00000020"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0.0145</w:t>
            </w:r>
          </w:p>
        </w:tc>
        <w:tc>
          <w:tcPr>
            <w:tcW w:w="779" w:type="dxa"/>
          </w:tcPr>
          <w:p w14:paraId="00000021"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10.0</w:t>
            </w:r>
          </w:p>
        </w:tc>
      </w:tr>
      <w:tr w:rsidR="00E77255" w14:paraId="2AADA7AE"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22" w14:textId="77777777" w:rsidR="00E77255" w:rsidRDefault="00000000">
            <w:pPr>
              <w:spacing w:after="80"/>
              <w:jc w:val="both"/>
              <w:rPr>
                <w:rFonts w:ascii="Arial" w:eastAsia="Arial" w:hAnsi="Arial" w:cs="Arial"/>
                <w:sz w:val="22"/>
                <w:szCs w:val="22"/>
              </w:rPr>
            </w:pPr>
            <w:r>
              <w:rPr>
                <w:color w:val="000000"/>
                <w:sz w:val="22"/>
                <w:szCs w:val="22"/>
              </w:rPr>
              <w:t>ASAP-0017239</w:t>
            </w:r>
          </w:p>
        </w:tc>
        <w:tc>
          <w:tcPr>
            <w:tcW w:w="830" w:type="dxa"/>
          </w:tcPr>
          <w:p w14:paraId="00000023"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0.0169</w:t>
            </w:r>
          </w:p>
        </w:tc>
        <w:tc>
          <w:tcPr>
            <w:tcW w:w="779" w:type="dxa"/>
          </w:tcPr>
          <w:p w14:paraId="00000024"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5.00</w:t>
            </w:r>
          </w:p>
        </w:tc>
        <w:tc>
          <w:tcPr>
            <w:tcW w:w="941" w:type="dxa"/>
          </w:tcPr>
          <w:p w14:paraId="00000025"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0.0221</w:t>
            </w:r>
          </w:p>
        </w:tc>
        <w:tc>
          <w:tcPr>
            <w:tcW w:w="779" w:type="dxa"/>
          </w:tcPr>
          <w:p w14:paraId="00000026"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10.0</w:t>
            </w:r>
          </w:p>
        </w:tc>
      </w:tr>
      <w:tr w:rsidR="00E77255" w14:paraId="630693A1"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27" w14:textId="77777777" w:rsidR="00E77255" w:rsidRDefault="00000000">
            <w:pPr>
              <w:spacing w:after="80"/>
              <w:jc w:val="both"/>
              <w:rPr>
                <w:rFonts w:ascii="Arial" w:eastAsia="Arial" w:hAnsi="Arial" w:cs="Arial"/>
                <w:sz w:val="22"/>
                <w:szCs w:val="22"/>
              </w:rPr>
            </w:pPr>
            <w:r>
              <w:rPr>
                <w:color w:val="000000"/>
                <w:sz w:val="22"/>
                <w:szCs w:val="22"/>
              </w:rPr>
              <w:t>ASAP-0017449</w:t>
            </w:r>
          </w:p>
        </w:tc>
        <w:tc>
          <w:tcPr>
            <w:tcW w:w="830" w:type="dxa"/>
          </w:tcPr>
          <w:p w14:paraId="00000028"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0.0183</w:t>
            </w:r>
          </w:p>
        </w:tc>
        <w:tc>
          <w:tcPr>
            <w:tcW w:w="779" w:type="dxa"/>
          </w:tcPr>
          <w:p w14:paraId="00000029"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5.00</w:t>
            </w:r>
          </w:p>
        </w:tc>
        <w:tc>
          <w:tcPr>
            <w:tcW w:w="941" w:type="dxa"/>
          </w:tcPr>
          <w:p w14:paraId="0000002A"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0.0545</w:t>
            </w:r>
          </w:p>
        </w:tc>
        <w:tc>
          <w:tcPr>
            <w:tcW w:w="779" w:type="dxa"/>
          </w:tcPr>
          <w:p w14:paraId="0000002B"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10.0</w:t>
            </w:r>
          </w:p>
        </w:tc>
      </w:tr>
      <w:tr w:rsidR="00E77255" w14:paraId="0E5A6407" w14:textId="77777777" w:rsidTr="00E77255">
        <w:trPr>
          <w:trHeight w:val="294"/>
        </w:trPr>
        <w:tc>
          <w:tcPr>
            <w:cnfStyle w:val="001000000000" w:firstRow="0" w:lastRow="0" w:firstColumn="1" w:lastColumn="0" w:oddVBand="0" w:evenVBand="0" w:oddHBand="0" w:evenHBand="0" w:firstRowFirstColumn="0" w:firstRowLastColumn="0" w:lastRowFirstColumn="0" w:lastRowLastColumn="0"/>
            <w:tcW w:w="1615" w:type="dxa"/>
          </w:tcPr>
          <w:p w14:paraId="0000002C" w14:textId="77777777" w:rsidR="00E77255" w:rsidRDefault="00000000">
            <w:pPr>
              <w:spacing w:after="80"/>
              <w:jc w:val="both"/>
              <w:rPr>
                <w:rFonts w:ascii="Arial" w:eastAsia="Arial" w:hAnsi="Arial" w:cs="Arial"/>
                <w:sz w:val="22"/>
                <w:szCs w:val="22"/>
              </w:rPr>
            </w:pPr>
            <w:r>
              <w:rPr>
                <w:color w:val="000000"/>
                <w:sz w:val="22"/>
                <w:szCs w:val="22"/>
              </w:rPr>
              <w:t>ASAP-0014786</w:t>
            </w:r>
          </w:p>
        </w:tc>
        <w:tc>
          <w:tcPr>
            <w:tcW w:w="830" w:type="dxa"/>
          </w:tcPr>
          <w:p w14:paraId="0000002D"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0.0188</w:t>
            </w:r>
          </w:p>
        </w:tc>
        <w:tc>
          <w:tcPr>
            <w:tcW w:w="779" w:type="dxa"/>
          </w:tcPr>
          <w:p w14:paraId="0000002E"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5.00</w:t>
            </w:r>
          </w:p>
        </w:tc>
        <w:tc>
          <w:tcPr>
            <w:tcW w:w="941" w:type="dxa"/>
          </w:tcPr>
          <w:p w14:paraId="0000002F"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0.0235</w:t>
            </w:r>
          </w:p>
        </w:tc>
        <w:tc>
          <w:tcPr>
            <w:tcW w:w="779" w:type="dxa"/>
          </w:tcPr>
          <w:p w14:paraId="00000030"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20.0</w:t>
            </w:r>
          </w:p>
        </w:tc>
      </w:tr>
      <w:tr w:rsidR="00E77255" w14:paraId="3CBC2088"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31" w14:textId="77777777" w:rsidR="00E77255" w:rsidRDefault="00000000">
            <w:pPr>
              <w:spacing w:after="80"/>
              <w:jc w:val="both"/>
              <w:rPr>
                <w:rFonts w:ascii="Arial" w:eastAsia="Arial" w:hAnsi="Arial" w:cs="Arial"/>
                <w:sz w:val="22"/>
                <w:szCs w:val="22"/>
              </w:rPr>
            </w:pPr>
            <w:r>
              <w:rPr>
                <w:color w:val="000000"/>
                <w:sz w:val="22"/>
                <w:szCs w:val="22"/>
              </w:rPr>
              <w:t>ASAP-0017446</w:t>
            </w:r>
          </w:p>
        </w:tc>
        <w:tc>
          <w:tcPr>
            <w:tcW w:w="830" w:type="dxa"/>
          </w:tcPr>
          <w:p w14:paraId="00000032"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0.0189</w:t>
            </w:r>
          </w:p>
        </w:tc>
        <w:tc>
          <w:tcPr>
            <w:tcW w:w="779" w:type="dxa"/>
          </w:tcPr>
          <w:p w14:paraId="00000033"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5.00</w:t>
            </w:r>
          </w:p>
        </w:tc>
        <w:tc>
          <w:tcPr>
            <w:tcW w:w="941" w:type="dxa"/>
          </w:tcPr>
          <w:p w14:paraId="00000034"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0.0686</w:t>
            </w:r>
          </w:p>
        </w:tc>
        <w:tc>
          <w:tcPr>
            <w:tcW w:w="779" w:type="dxa"/>
          </w:tcPr>
          <w:p w14:paraId="00000035"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10.0</w:t>
            </w:r>
          </w:p>
        </w:tc>
      </w:tr>
      <w:tr w:rsidR="00E77255" w14:paraId="1838DFE5"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36" w14:textId="77777777" w:rsidR="00E77255" w:rsidRDefault="00000000">
            <w:pPr>
              <w:spacing w:after="80"/>
              <w:jc w:val="both"/>
              <w:rPr>
                <w:rFonts w:ascii="Arial" w:eastAsia="Arial" w:hAnsi="Arial" w:cs="Arial"/>
                <w:sz w:val="22"/>
                <w:szCs w:val="22"/>
              </w:rPr>
            </w:pPr>
            <w:r>
              <w:rPr>
                <w:color w:val="000000"/>
                <w:sz w:val="22"/>
                <w:szCs w:val="22"/>
              </w:rPr>
              <w:t>ASAP-0017445</w:t>
            </w:r>
          </w:p>
        </w:tc>
        <w:tc>
          <w:tcPr>
            <w:tcW w:w="830" w:type="dxa"/>
          </w:tcPr>
          <w:p w14:paraId="00000037"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0.0192</w:t>
            </w:r>
          </w:p>
        </w:tc>
        <w:tc>
          <w:tcPr>
            <w:tcW w:w="779" w:type="dxa"/>
          </w:tcPr>
          <w:p w14:paraId="00000038"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5.00</w:t>
            </w:r>
          </w:p>
        </w:tc>
        <w:tc>
          <w:tcPr>
            <w:tcW w:w="941" w:type="dxa"/>
          </w:tcPr>
          <w:p w14:paraId="00000039"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0.0142</w:t>
            </w:r>
          </w:p>
        </w:tc>
        <w:tc>
          <w:tcPr>
            <w:tcW w:w="779" w:type="dxa"/>
          </w:tcPr>
          <w:p w14:paraId="0000003A"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10.0</w:t>
            </w:r>
          </w:p>
        </w:tc>
      </w:tr>
      <w:tr w:rsidR="00E77255" w14:paraId="58F2098A"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3B" w14:textId="77777777" w:rsidR="00E77255" w:rsidRDefault="00000000">
            <w:pPr>
              <w:spacing w:after="80"/>
              <w:jc w:val="both"/>
              <w:rPr>
                <w:rFonts w:ascii="Arial" w:eastAsia="Arial" w:hAnsi="Arial" w:cs="Arial"/>
                <w:sz w:val="22"/>
                <w:szCs w:val="22"/>
              </w:rPr>
            </w:pPr>
            <w:r>
              <w:rPr>
                <w:color w:val="000000"/>
                <w:sz w:val="22"/>
                <w:szCs w:val="22"/>
              </w:rPr>
              <w:t>ASAP-0014925</w:t>
            </w:r>
          </w:p>
        </w:tc>
        <w:tc>
          <w:tcPr>
            <w:tcW w:w="830" w:type="dxa"/>
          </w:tcPr>
          <w:p w14:paraId="0000003C"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0.0228</w:t>
            </w:r>
          </w:p>
        </w:tc>
        <w:tc>
          <w:tcPr>
            <w:tcW w:w="779" w:type="dxa"/>
          </w:tcPr>
          <w:p w14:paraId="0000003D"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5.00</w:t>
            </w:r>
          </w:p>
        </w:tc>
        <w:tc>
          <w:tcPr>
            <w:tcW w:w="941" w:type="dxa"/>
          </w:tcPr>
          <w:p w14:paraId="0000003E"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0.0393</w:t>
            </w:r>
          </w:p>
        </w:tc>
        <w:tc>
          <w:tcPr>
            <w:tcW w:w="779" w:type="dxa"/>
          </w:tcPr>
          <w:p w14:paraId="0000003F"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10.0</w:t>
            </w:r>
          </w:p>
        </w:tc>
      </w:tr>
      <w:tr w:rsidR="00E77255" w14:paraId="5864D98F"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40" w14:textId="77777777" w:rsidR="00E77255" w:rsidRDefault="00000000">
            <w:pPr>
              <w:spacing w:after="80"/>
              <w:jc w:val="both"/>
              <w:rPr>
                <w:rFonts w:ascii="Arial" w:eastAsia="Arial" w:hAnsi="Arial" w:cs="Arial"/>
                <w:sz w:val="22"/>
                <w:szCs w:val="22"/>
              </w:rPr>
            </w:pPr>
            <w:r>
              <w:rPr>
                <w:color w:val="000000"/>
                <w:sz w:val="22"/>
                <w:szCs w:val="22"/>
              </w:rPr>
              <w:t>ASAP-0017448</w:t>
            </w:r>
          </w:p>
        </w:tc>
        <w:tc>
          <w:tcPr>
            <w:tcW w:w="830" w:type="dxa"/>
          </w:tcPr>
          <w:p w14:paraId="00000041"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0.0245</w:t>
            </w:r>
          </w:p>
        </w:tc>
        <w:tc>
          <w:tcPr>
            <w:tcW w:w="779" w:type="dxa"/>
          </w:tcPr>
          <w:p w14:paraId="00000042"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5.00</w:t>
            </w:r>
          </w:p>
        </w:tc>
        <w:tc>
          <w:tcPr>
            <w:tcW w:w="941" w:type="dxa"/>
          </w:tcPr>
          <w:p w14:paraId="00000043"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0.0126</w:t>
            </w:r>
          </w:p>
        </w:tc>
        <w:tc>
          <w:tcPr>
            <w:tcW w:w="779" w:type="dxa"/>
          </w:tcPr>
          <w:p w14:paraId="00000044"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10.0</w:t>
            </w:r>
          </w:p>
        </w:tc>
      </w:tr>
      <w:tr w:rsidR="00E77255" w14:paraId="2FFB2867"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45" w14:textId="77777777" w:rsidR="00E77255" w:rsidRDefault="00000000">
            <w:pPr>
              <w:spacing w:after="80"/>
              <w:jc w:val="both"/>
              <w:rPr>
                <w:rFonts w:ascii="Arial" w:eastAsia="Arial" w:hAnsi="Arial" w:cs="Arial"/>
                <w:sz w:val="22"/>
                <w:szCs w:val="22"/>
              </w:rPr>
            </w:pPr>
            <w:r>
              <w:rPr>
                <w:color w:val="000000"/>
                <w:sz w:val="22"/>
                <w:szCs w:val="22"/>
              </w:rPr>
              <w:t>ASAP-0016509</w:t>
            </w:r>
          </w:p>
        </w:tc>
        <w:tc>
          <w:tcPr>
            <w:tcW w:w="830" w:type="dxa"/>
          </w:tcPr>
          <w:p w14:paraId="00000046"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0.0285</w:t>
            </w:r>
          </w:p>
        </w:tc>
        <w:tc>
          <w:tcPr>
            <w:tcW w:w="779" w:type="dxa"/>
          </w:tcPr>
          <w:p w14:paraId="00000047"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5.00</w:t>
            </w:r>
          </w:p>
        </w:tc>
        <w:tc>
          <w:tcPr>
            <w:tcW w:w="941" w:type="dxa"/>
          </w:tcPr>
          <w:p w14:paraId="00000048"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0.11</w:t>
            </w:r>
          </w:p>
        </w:tc>
        <w:tc>
          <w:tcPr>
            <w:tcW w:w="779" w:type="dxa"/>
          </w:tcPr>
          <w:p w14:paraId="00000049"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10.0</w:t>
            </w:r>
          </w:p>
        </w:tc>
      </w:tr>
      <w:tr w:rsidR="00E77255" w14:paraId="5149CF02"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4A" w14:textId="77777777" w:rsidR="00E77255" w:rsidRDefault="00000000">
            <w:pPr>
              <w:spacing w:after="80"/>
              <w:jc w:val="both"/>
              <w:rPr>
                <w:rFonts w:ascii="Arial" w:eastAsia="Arial" w:hAnsi="Arial" w:cs="Arial"/>
                <w:sz w:val="22"/>
                <w:szCs w:val="22"/>
              </w:rPr>
            </w:pPr>
            <w:r>
              <w:rPr>
                <w:color w:val="000000"/>
                <w:sz w:val="22"/>
                <w:szCs w:val="22"/>
              </w:rPr>
              <w:t>ASAP-0017370</w:t>
            </w:r>
          </w:p>
        </w:tc>
        <w:tc>
          <w:tcPr>
            <w:tcW w:w="830" w:type="dxa"/>
          </w:tcPr>
          <w:p w14:paraId="0000004B"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0.0346</w:t>
            </w:r>
          </w:p>
        </w:tc>
        <w:tc>
          <w:tcPr>
            <w:tcW w:w="779" w:type="dxa"/>
          </w:tcPr>
          <w:p w14:paraId="0000004C"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5.00</w:t>
            </w:r>
          </w:p>
        </w:tc>
        <w:tc>
          <w:tcPr>
            <w:tcW w:w="941" w:type="dxa"/>
          </w:tcPr>
          <w:p w14:paraId="0000004D"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0.0524</w:t>
            </w:r>
          </w:p>
        </w:tc>
        <w:tc>
          <w:tcPr>
            <w:tcW w:w="779" w:type="dxa"/>
          </w:tcPr>
          <w:p w14:paraId="0000004E"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10.0</w:t>
            </w:r>
          </w:p>
        </w:tc>
      </w:tr>
      <w:tr w:rsidR="00E77255" w14:paraId="17976688"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4F" w14:textId="77777777" w:rsidR="00E77255" w:rsidRDefault="00000000">
            <w:pPr>
              <w:spacing w:after="80"/>
              <w:jc w:val="both"/>
              <w:rPr>
                <w:rFonts w:ascii="Arial" w:eastAsia="Arial" w:hAnsi="Arial" w:cs="Arial"/>
                <w:sz w:val="22"/>
                <w:szCs w:val="22"/>
              </w:rPr>
            </w:pPr>
            <w:r>
              <w:rPr>
                <w:color w:val="000000"/>
                <w:sz w:val="22"/>
                <w:szCs w:val="22"/>
              </w:rPr>
              <w:t>Nirmatrelvir</w:t>
            </w:r>
          </w:p>
        </w:tc>
        <w:tc>
          <w:tcPr>
            <w:tcW w:w="830" w:type="dxa"/>
          </w:tcPr>
          <w:p w14:paraId="00000050"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0.0349</w:t>
            </w:r>
          </w:p>
        </w:tc>
        <w:tc>
          <w:tcPr>
            <w:tcW w:w="779" w:type="dxa"/>
          </w:tcPr>
          <w:p w14:paraId="00000051"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5.00</w:t>
            </w:r>
          </w:p>
        </w:tc>
        <w:tc>
          <w:tcPr>
            <w:tcW w:w="941" w:type="dxa"/>
          </w:tcPr>
          <w:p w14:paraId="00000052"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0.112</w:t>
            </w:r>
          </w:p>
        </w:tc>
        <w:tc>
          <w:tcPr>
            <w:tcW w:w="779" w:type="dxa"/>
          </w:tcPr>
          <w:p w14:paraId="00000053"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10.0</w:t>
            </w:r>
          </w:p>
        </w:tc>
      </w:tr>
      <w:tr w:rsidR="00E77255" w14:paraId="26452AFA"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54" w14:textId="77777777" w:rsidR="00E77255" w:rsidRDefault="00000000">
            <w:pPr>
              <w:spacing w:after="80"/>
              <w:jc w:val="both"/>
              <w:rPr>
                <w:rFonts w:ascii="Arial" w:eastAsia="Arial" w:hAnsi="Arial" w:cs="Arial"/>
                <w:sz w:val="22"/>
                <w:szCs w:val="22"/>
              </w:rPr>
            </w:pPr>
            <w:r>
              <w:rPr>
                <w:color w:val="000000"/>
                <w:sz w:val="22"/>
                <w:szCs w:val="22"/>
              </w:rPr>
              <w:t>ASAP-0014750</w:t>
            </w:r>
          </w:p>
        </w:tc>
        <w:tc>
          <w:tcPr>
            <w:tcW w:w="830" w:type="dxa"/>
          </w:tcPr>
          <w:p w14:paraId="00000055"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0.0402</w:t>
            </w:r>
          </w:p>
        </w:tc>
        <w:tc>
          <w:tcPr>
            <w:tcW w:w="779" w:type="dxa"/>
          </w:tcPr>
          <w:p w14:paraId="00000056"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5.00</w:t>
            </w:r>
          </w:p>
        </w:tc>
        <w:tc>
          <w:tcPr>
            <w:tcW w:w="941" w:type="dxa"/>
          </w:tcPr>
          <w:p w14:paraId="00000057"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0.217</w:t>
            </w:r>
          </w:p>
        </w:tc>
        <w:tc>
          <w:tcPr>
            <w:tcW w:w="779" w:type="dxa"/>
          </w:tcPr>
          <w:p w14:paraId="00000058"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20.0</w:t>
            </w:r>
          </w:p>
        </w:tc>
      </w:tr>
      <w:tr w:rsidR="00E77255" w14:paraId="468E7BCE"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59" w14:textId="77777777" w:rsidR="00E77255" w:rsidRDefault="00000000">
            <w:pPr>
              <w:spacing w:after="80"/>
              <w:jc w:val="both"/>
              <w:rPr>
                <w:rFonts w:ascii="Arial" w:eastAsia="Arial" w:hAnsi="Arial" w:cs="Arial"/>
                <w:sz w:val="22"/>
                <w:szCs w:val="22"/>
              </w:rPr>
            </w:pPr>
            <w:r>
              <w:rPr>
                <w:color w:val="000000"/>
                <w:sz w:val="22"/>
                <w:szCs w:val="22"/>
              </w:rPr>
              <w:t>ASAP-0015657</w:t>
            </w:r>
          </w:p>
        </w:tc>
        <w:tc>
          <w:tcPr>
            <w:tcW w:w="830" w:type="dxa"/>
          </w:tcPr>
          <w:p w14:paraId="0000005A"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0.0508</w:t>
            </w:r>
          </w:p>
        </w:tc>
        <w:tc>
          <w:tcPr>
            <w:tcW w:w="779" w:type="dxa"/>
          </w:tcPr>
          <w:p w14:paraId="0000005B"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5.00</w:t>
            </w:r>
          </w:p>
        </w:tc>
        <w:tc>
          <w:tcPr>
            <w:tcW w:w="941" w:type="dxa"/>
          </w:tcPr>
          <w:p w14:paraId="0000005C"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0.0546</w:t>
            </w:r>
          </w:p>
        </w:tc>
        <w:tc>
          <w:tcPr>
            <w:tcW w:w="779" w:type="dxa"/>
          </w:tcPr>
          <w:p w14:paraId="0000005D"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10.0</w:t>
            </w:r>
          </w:p>
        </w:tc>
      </w:tr>
      <w:tr w:rsidR="00E77255" w14:paraId="63307682"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5E" w14:textId="77777777" w:rsidR="00E77255" w:rsidRDefault="00000000">
            <w:pPr>
              <w:spacing w:after="80"/>
              <w:jc w:val="both"/>
              <w:rPr>
                <w:color w:val="000000"/>
                <w:sz w:val="22"/>
                <w:szCs w:val="22"/>
              </w:rPr>
            </w:pPr>
            <w:r>
              <w:rPr>
                <w:color w:val="000000"/>
                <w:sz w:val="22"/>
                <w:szCs w:val="22"/>
              </w:rPr>
              <w:t>ASAP-0016845</w:t>
            </w:r>
          </w:p>
        </w:tc>
        <w:tc>
          <w:tcPr>
            <w:tcW w:w="830" w:type="dxa"/>
          </w:tcPr>
          <w:p w14:paraId="0000005F"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0.0512</w:t>
            </w:r>
          </w:p>
        </w:tc>
        <w:tc>
          <w:tcPr>
            <w:tcW w:w="779" w:type="dxa"/>
          </w:tcPr>
          <w:p w14:paraId="00000060"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&gt; 5.00</w:t>
            </w:r>
          </w:p>
        </w:tc>
        <w:tc>
          <w:tcPr>
            <w:tcW w:w="941" w:type="dxa"/>
          </w:tcPr>
          <w:p w14:paraId="00000061"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0.0951</w:t>
            </w:r>
          </w:p>
        </w:tc>
        <w:tc>
          <w:tcPr>
            <w:tcW w:w="779" w:type="dxa"/>
          </w:tcPr>
          <w:p w14:paraId="00000062"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&gt; 10.0</w:t>
            </w:r>
          </w:p>
        </w:tc>
      </w:tr>
      <w:tr w:rsidR="00E77255" w14:paraId="553F4FE9"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63" w14:textId="77777777" w:rsidR="00E77255" w:rsidRDefault="00000000">
            <w:pPr>
              <w:spacing w:after="80"/>
              <w:jc w:val="both"/>
              <w:rPr>
                <w:color w:val="000000"/>
                <w:sz w:val="22"/>
                <w:szCs w:val="22"/>
              </w:rPr>
            </w:pPr>
            <w:r>
              <w:rPr>
                <w:color w:val="000000"/>
                <w:sz w:val="22"/>
                <w:szCs w:val="22"/>
              </w:rPr>
              <w:t>ASAP-0014886</w:t>
            </w:r>
          </w:p>
        </w:tc>
        <w:tc>
          <w:tcPr>
            <w:tcW w:w="830" w:type="dxa"/>
          </w:tcPr>
          <w:p w14:paraId="00000064"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0.0517</w:t>
            </w:r>
          </w:p>
        </w:tc>
        <w:tc>
          <w:tcPr>
            <w:tcW w:w="779" w:type="dxa"/>
          </w:tcPr>
          <w:p w14:paraId="00000065"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&gt; 5.00</w:t>
            </w:r>
          </w:p>
        </w:tc>
        <w:tc>
          <w:tcPr>
            <w:tcW w:w="941" w:type="dxa"/>
          </w:tcPr>
          <w:p w14:paraId="00000066"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0.0883</w:t>
            </w:r>
          </w:p>
        </w:tc>
        <w:tc>
          <w:tcPr>
            <w:tcW w:w="779" w:type="dxa"/>
          </w:tcPr>
          <w:p w14:paraId="00000067"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&gt; 10.0</w:t>
            </w:r>
          </w:p>
        </w:tc>
      </w:tr>
      <w:tr w:rsidR="00E77255" w14:paraId="78E9930E"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68" w14:textId="77777777" w:rsidR="00E77255" w:rsidRDefault="00000000">
            <w:pPr>
              <w:spacing w:after="80"/>
              <w:jc w:val="both"/>
              <w:rPr>
                <w:color w:val="000000"/>
                <w:sz w:val="22"/>
                <w:szCs w:val="22"/>
              </w:rPr>
            </w:pPr>
            <w:r>
              <w:rPr>
                <w:color w:val="000000"/>
                <w:sz w:val="22"/>
                <w:szCs w:val="22"/>
              </w:rPr>
              <w:lastRenderedPageBreak/>
              <w:t>ASAP-0016846</w:t>
            </w:r>
          </w:p>
        </w:tc>
        <w:tc>
          <w:tcPr>
            <w:tcW w:w="830" w:type="dxa"/>
          </w:tcPr>
          <w:p w14:paraId="00000069"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0.0524</w:t>
            </w:r>
          </w:p>
        </w:tc>
        <w:tc>
          <w:tcPr>
            <w:tcW w:w="779" w:type="dxa"/>
          </w:tcPr>
          <w:p w14:paraId="0000006A"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&gt; 5.00</w:t>
            </w:r>
          </w:p>
        </w:tc>
        <w:tc>
          <w:tcPr>
            <w:tcW w:w="941" w:type="dxa"/>
          </w:tcPr>
          <w:p w14:paraId="0000006B"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0.285</w:t>
            </w:r>
          </w:p>
        </w:tc>
        <w:tc>
          <w:tcPr>
            <w:tcW w:w="779" w:type="dxa"/>
          </w:tcPr>
          <w:p w14:paraId="0000006C"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&gt; 10.0</w:t>
            </w:r>
          </w:p>
        </w:tc>
      </w:tr>
      <w:tr w:rsidR="00E77255" w14:paraId="33BB7221"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6D" w14:textId="77777777" w:rsidR="00E77255" w:rsidRDefault="00000000">
            <w:pPr>
              <w:spacing w:after="80"/>
              <w:jc w:val="both"/>
              <w:rPr>
                <w:color w:val="000000"/>
                <w:sz w:val="22"/>
                <w:szCs w:val="22"/>
              </w:rPr>
            </w:pPr>
            <w:r>
              <w:rPr>
                <w:color w:val="000000"/>
                <w:sz w:val="22"/>
                <w:szCs w:val="22"/>
              </w:rPr>
              <w:t>ASAP-0017339</w:t>
            </w:r>
          </w:p>
        </w:tc>
        <w:tc>
          <w:tcPr>
            <w:tcW w:w="830" w:type="dxa"/>
          </w:tcPr>
          <w:p w14:paraId="0000006E"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0.0539</w:t>
            </w:r>
          </w:p>
        </w:tc>
        <w:tc>
          <w:tcPr>
            <w:tcW w:w="779" w:type="dxa"/>
          </w:tcPr>
          <w:p w14:paraId="0000006F"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&gt; 5.00</w:t>
            </w:r>
          </w:p>
        </w:tc>
        <w:tc>
          <w:tcPr>
            <w:tcW w:w="941" w:type="dxa"/>
          </w:tcPr>
          <w:p w14:paraId="00000070"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0.0397</w:t>
            </w:r>
          </w:p>
        </w:tc>
        <w:tc>
          <w:tcPr>
            <w:tcW w:w="779" w:type="dxa"/>
          </w:tcPr>
          <w:p w14:paraId="00000071"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&gt; 10.0</w:t>
            </w:r>
          </w:p>
        </w:tc>
      </w:tr>
      <w:tr w:rsidR="00E77255" w14:paraId="391620FF"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72" w14:textId="77777777" w:rsidR="00E77255" w:rsidRDefault="00000000">
            <w:pPr>
              <w:spacing w:after="80"/>
              <w:jc w:val="both"/>
              <w:rPr>
                <w:color w:val="000000"/>
                <w:sz w:val="22"/>
                <w:szCs w:val="22"/>
              </w:rPr>
            </w:pPr>
            <w:r>
              <w:rPr>
                <w:color w:val="000000"/>
                <w:sz w:val="22"/>
                <w:szCs w:val="22"/>
              </w:rPr>
              <w:t>ASAP-0012337</w:t>
            </w:r>
          </w:p>
        </w:tc>
        <w:tc>
          <w:tcPr>
            <w:tcW w:w="830" w:type="dxa"/>
          </w:tcPr>
          <w:p w14:paraId="00000073"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0.0556</w:t>
            </w:r>
          </w:p>
        </w:tc>
        <w:tc>
          <w:tcPr>
            <w:tcW w:w="779" w:type="dxa"/>
          </w:tcPr>
          <w:p w14:paraId="00000074"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&gt; 5.00</w:t>
            </w:r>
          </w:p>
        </w:tc>
        <w:tc>
          <w:tcPr>
            <w:tcW w:w="941" w:type="dxa"/>
          </w:tcPr>
          <w:p w14:paraId="00000075"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0.869</w:t>
            </w:r>
          </w:p>
        </w:tc>
        <w:tc>
          <w:tcPr>
            <w:tcW w:w="779" w:type="dxa"/>
          </w:tcPr>
          <w:p w14:paraId="00000076"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&gt; 20.0</w:t>
            </w:r>
          </w:p>
        </w:tc>
      </w:tr>
      <w:tr w:rsidR="00E77255" w14:paraId="20FCBBA4" w14:textId="77777777" w:rsidTr="00E77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0000077" w14:textId="77777777" w:rsidR="00E77255" w:rsidRDefault="00000000">
            <w:pPr>
              <w:spacing w:after="80"/>
              <w:jc w:val="both"/>
              <w:rPr>
                <w:color w:val="000000"/>
                <w:sz w:val="22"/>
                <w:szCs w:val="22"/>
              </w:rPr>
            </w:pPr>
            <w:r>
              <w:rPr>
                <w:color w:val="000000"/>
                <w:sz w:val="22"/>
                <w:szCs w:val="22"/>
              </w:rPr>
              <w:t>ASAP-0013299</w:t>
            </w:r>
          </w:p>
        </w:tc>
        <w:tc>
          <w:tcPr>
            <w:tcW w:w="830" w:type="dxa"/>
          </w:tcPr>
          <w:p w14:paraId="00000078"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0.0558</w:t>
            </w:r>
          </w:p>
        </w:tc>
        <w:tc>
          <w:tcPr>
            <w:tcW w:w="779" w:type="dxa"/>
          </w:tcPr>
          <w:p w14:paraId="00000079"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&gt; 4.88</w:t>
            </w:r>
          </w:p>
        </w:tc>
        <w:tc>
          <w:tcPr>
            <w:tcW w:w="941" w:type="dxa"/>
          </w:tcPr>
          <w:p w14:paraId="0000007A"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0.0584</w:t>
            </w:r>
          </w:p>
        </w:tc>
        <w:tc>
          <w:tcPr>
            <w:tcW w:w="779" w:type="dxa"/>
          </w:tcPr>
          <w:p w14:paraId="0000007B"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&gt; 20.0</w:t>
            </w:r>
          </w:p>
        </w:tc>
      </w:tr>
    </w:tbl>
    <w:p w14:paraId="0000007C" w14:textId="77777777" w:rsidR="00E77255" w:rsidRDefault="00000000">
      <w:pPr>
        <w:spacing w:after="80"/>
        <w:jc w:val="both"/>
        <w:rPr>
          <w:rFonts w:ascii="Arial" w:eastAsia="Arial" w:hAnsi="Arial" w:cs="Arial"/>
          <w:b/>
          <w:sz w:val="22"/>
          <w:szCs w:val="22"/>
          <w:u w:val="single"/>
        </w:rPr>
      </w:pPr>
      <w:r>
        <w:rPr>
          <w:rFonts w:ascii="Arial" w:eastAsia="Arial" w:hAnsi="Arial" w:cs="Arial"/>
          <w:sz w:val="22"/>
          <w:szCs w:val="22"/>
        </w:rPr>
        <w:t xml:space="preserve">The ASAP consortium has a focus on unique structural targets that polymerize, such as capsid and nucleoproteins. Such targets offer dominant targeting effects that make them potentially resistance refractory (see Project 1 for detailed discussion). The nucleoprotein target (N protein) is a structural protein and does not have </w:t>
      </w:r>
      <w:proofErr w:type="gramStart"/>
      <w:r>
        <w:rPr>
          <w:rFonts w:ascii="Arial" w:eastAsia="Arial" w:hAnsi="Arial" w:cs="Arial"/>
          <w:sz w:val="22"/>
          <w:szCs w:val="22"/>
        </w:rPr>
        <w:t>an</w:t>
      </w:r>
      <w:proofErr w:type="gramEnd"/>
      <w:r>
        <w:rPr>
          <w:rFonts w:ascii="Arial" w:eastAsia="Arial" w:hAnsi="Arial" w:cs="Arial"/>
          <w:sz w:val="22"/>
          <w:szCs w:val="22"/>
        </w:rPr>
        <w:t xml:space="preserve"> known enzymatic process for the establishment of a biochemical assay, which led us to pause our discovery program while searching for a viable alternative assay with sufficient throughput. Recently, ASAP has collaborated with the laboratory of Jennifer </w:t>
      </w:r>
      <w:proofErr w:type="spellStart"/>
      <w:r>
        <w:rPr>
          <w:rFonts w:ascii="Arial" w:eastAsia="Arial" w:hAnsi="Arial" w:cs="Arial"/>
          <w:sz w:val="22"/>
          <w:szCs w:val="22"/>
        </w:rPr>
        <w:t>Doudna</w:t>
      </w:r>
      <w:proofErr w:type="spellEnd"/>
      <w:r>
        <w:rPr>
          <w:rFonts w:ascii="Arial" w:eastAsia="Arial" w:hAnsi="Arial" w:cs="Arial"/>
          <w:sz w:val="22"/>
          <w:szCs w:val="22"/>
        </w:rPr>
        <w:t xml:space="preserve"> to screen our top fragment-based hits in the SARS-CoV-2 lentivirus VLP assays she has established. After observing potent hits in the VLP assay, we began screening in live-virus SARS-CoV-2/WA1 assays in the Antiviral Core. In </w:t>
      </w:r>
      <w:r>
        <w:rPr>
          <w:rFonts w:ascii="Arial" w:eastAsia="Arial" w:hAnsi="Arial" w:cs="Arial"/>
          <w:b/>
          <w:sz w:val="22"/>
          <w:szCs w:val="22"/>
        </w:rPr>
        <w:t>Table 2</w:t>
      </w:r>
      <w:r>
        <w:rPr>
          <w:rFonts w:ascii="Arial" w:eastAsia="Arial" w:hAnsi="Arial" w:cs="Arial"/>
          <w:sz w:val="22"/>
          <w:szCs w:val="22"/>
        </w:rPr>
        <w:t xml:space="preserve"> you can see the top 10 hits from 40 total compounds tested to date in an ongoing screening campaign. These initial 8 early hits in this campaign have clear antiviral activity, with 2 compounds (including ASAP-0010877, with sub-micromolar activity) corroborated with the orthogonal VLP assay, give us high confidence that we could elect to pursue this nucleoprotein target with Project 3 (Fragment-to-lead) should ASAP elect to restart this program.</w:t>
      </w:r>
    </w:p>
    <w:p w14:paraId="0000007D" w14:textId="77777777" w:rsidR="00E77255" w:rsidRDefault="00000000">
      <w:pPr>
        <w:spacing w:after="80"/>
        <w:jc w:val="both"/>
        <w:rPr>
          <w:rFonts w:ascii="Arial" w:eastAsia="Arial" w:hAnsi="Arial" w:cs="Arial"/>
          <w:b/>
          <w:sz w:val="22"/>
          <w:szCs w:val="22"/>
          <w:u w:val="single"/>
        </w:rPr>
      </w:pPr>
      <w:r>
        <w:rPr>
          <w:rFonts w:ascii="Arial" w:eastAsia="Arial" w:hAnsi="Arial" w:cs="Arial"/>
          <w:b/>
          <w:sz w:val="22"/>
          <w:szCs w:val="22"/>
          <w:u w:val="single"/>
        </w:rPr>
        <w:t>SARS-CoV-2 nsp3 Mac1 Macrodomain Program</w:t>
      </w:r>
    </w:p>
    <w:p w14:paraId="0000007E" w14:textId="7211A896" w:rsidR="00E77255" w:rsidRDefault="00000000">
      <w:pPr>
        <w:spacing w:after="80"/>
        <w:jc w:val="both"/>
        <w:rPr>
          <w:rFonts w:ascii="Arial" w:eastAsia="Arial" w:hAnsi="Arial" w:cs="Arial"/>
          <w:sz w:val="22"/>
          <w:szCs w:val="22"/>
        </w:rPr>
      </w:pPr>
      <w:r>
        <w:rPr>
          <w:rFonts w:ascii="Arial" w:eastAsia="Arial" w:hAnsi="Arial" w:cs="Arial"/>
          <w:sz w:val="22"/>
          <w:szCs w:val="22"/>
        </w:rPr>
        <w:t xml:space="preserve">ASAP launched a SARS-CoV-2 nsp3 Mac1 macrodomain targeted program toward the end of the consortium’s first year. While deletion or ablation of Mac1 activity has a profound effect </w:t>
      </w:r>
      <w:r>
        <w:rPr>
          <w:rFonts w:ascii="Arial" w:eastAsia="Arial" w:hAnsi="Arial" w:cs="Arial"/>
          <w:i/>
          <w:sz w:val="22"/>
          <w:szCs w:val="22"/>
        </w:rPr>
        <w:t>in vivo</w:t>
      </w:r>
      <w:r>
        <w:rPr>
          <w:rFonts w:ascii="Arial" w:eastAsia="Arial" w:hAnsi="Arial" w:cs="Arial"/>
          <w:sz w:val="22"/>
          <w:szCs w:val="22"/>
        </w:rPr>
        <w:t xml:space="preserve">, the involvement of innate immune response meant that it would likely be challenging to identify a suitable cellular model for which </w:t>
      </w:r>
      <w:r>
        <w:rPr>
          <w:rFonts w:ascii="Arial" w:eastAsia="Arial" w:hAnsi="Arial" w:cs="Arial"/>
          <w:i/>
          <w:sz w:val="22"/>
          <w:szCs w:val="22"/>
        </w:rPr>
        <w:t>in vitro</w:t>
      </w:r>
      <w:r>
        <w:rPr>
          <w:rFonts w:ascii="Arial" w:eastAsia="Arial" w:hAnsi="Arial" w:cs="Arial"/>
          <w:sz w:val="22"/>
          <w:szCs w:val="22"/>
        </w:rPr>
        <w:t xml:space="preserve"> cellular antiviral activity could drive the lead optimization phase of the discovery program. Project 3 (fragment-to-lead) produced multiple potent molecules that demonstrated target engagement in X-ray structures, in vitro biochemical assays, and cell-based CETSA assays.</w:t>
      </w:r>
      <w:r w:rsidR="003F49E2">
        <w:rPr>
          <w:rFonts w:ascii="Arial" w:eastAsia="Arial" w:hAnsi="Arial" w:cs="Arial"/>
          <w:sz w:val="22"/>
          <w:szCs w:val="22"/>
        </w:rPr>
        <w:t xml:space="preserve"> It is known that Mac1 inhibition shows clear </w:t>
      </w:r>
      <w:r w:rsidR="003F49E2" w:rsidRPr="00555654">
        <w:rPr>
          <w:rFonts w:ascii="Arial" w:eastAsia="Arial" w:hAnsi="Arial" w:cs="Arial"/>
          <w:i/>
          <w:iCs/>
          <w:sz w:val="22"/>
          <w:szCs w:val="22"/>
        </w:rPr>
        <w:t>in vivo</w:t>
      </w:r>
      <w:r w:rsidR="003F49E2">
        <w:rPr>
          <w:rFonts w:ascii="Arial" w:eastAsia="Arial" w:hAnsi="Arial" w:cs="Arial"/>
          <w:sz w:val="22"/>
          <w:szCs w:val="22"/>
        </w:rPr>
        <w:t xml:space="preserve"> reductions in viral replication, but impacts on cell models are still unclear. We believed the primary-like iPSC-derived pneumocytes with intact innate immune systems (see Developmental Award – Zwaka) could potentially offer a viable cell model to observe Mac1 inhibition.</w:t>
      </w:r>
      <w:r>
        <w:rPr>
          <w:rFonts w:ascii="Arial" w:eastAsia="Arial" w:hAnsi="Arial" w:cs="Arial"/>
          <w:sz w:val="22"/>
          <w:szCs w:val="22"/>
        </w:rPr>
        <w:t xml:space="preserve"> </w:t>
      </w:r>
      <w:sdt>
        <w:sdtPr>
          <w:tag w:val="goog_rdk_3"/>
          <w:id w:val="896404749"/>
        </w:sdtPr>
        <w:sdtContent>
          <w:commentRangeStart w:id="5"/>
        </w:sdtContent>
      </w:sdt>
      <w:r>
        <w:rPr>
          <w:rFonts w:ascii="Arial" w:eastAsia="Arial" w:hAnsi="Arial" w:cs="Arial"/>
          <w:sz w:val="22"/>
          <w:szCs w:val="22"/>
        </w:rPr>
        <w:t xml:space="preserve">Our cellular assays in </w:t>
      </w:r>
      <w:r w:rsidR="00555654">
        <w:rPr>
          <w:rFonts w:ascii="Arial" w:eastAsia="Arial" w:hAnsi="Arial" w:cs="Arial"/>
          <w:sz w:val="22"/>
          <w:szCs w:val="22"/>
        </w:rPr>
        <w:t>HeLa-ACE2</w:t>
      </w:r>
      <w:r>
        <w:rPr>
          <w:rFonts w:ascii="Arial" w:eastAsia="Arial" w:hAnsi="Arial" w:cs="Arial"/>
          <w:sz w:val="22"/>
          <w:szCs w:val="22"/>
        </w:rPr>
        <w:t xml:space="preserve"> cells</w:t>
      </w:r>
      <w:commentRangeEnd w:id="5"/>
      <w:r>
        <w:commentReference w:id="5"/>
      </w:r>
      <w:r w:rsidR="00555654">
        <w:rPr>
          <w:rFonts w:ascii="Arial" w:eastAsia="Arial" w:hAnsi="Arial" w:cs="Arial"/>
          <w:sz w:val="22"/>
          <w:szCs w:val="22"/>
        </w:rPr>
        <w:t xml:space="preserve"> and iPSC-derived type II pneumocytes</w:t>
      </w:r>
      <w:r>
        <w:rPr>
          <w:rFonts w:ascii="Arial" w:eastAsia="Arial" w:hAnsi="Arial" w:cs="Arial"/>
          <w:sz w:val="22"/>
          <w:szCs w:val="22"/>
        </w:rPr>
        <w:t xml:space="preserve"> initially identified multiple sub-micromolar hits in our live-virus SARS-CoV-2 antiviral screening assays, initially giving hope that we could drive the program with these assays.</w:t>
      </w:r>
      <w:r w:rsidR="003F49E2">
        <w:rPr>
          <w:rFonts w:ascii="Arial" w:eastAsia="Arial" w:hAnsi="Arial" w:cs="Arial"/>
          <w:sz w:val="22"/>
          <w:szCs w:val="22"/>
        </w:rPr>
        <w:t xml:space="preserve"> </w:t>
      </w:r>
      <w:r>
        <w:rPr>
          <w:rFonts w:ascii="Arial" w:eastAsia="Arial" w:hAnsi="Arial" w:cs="Arial"/>
          <w:sz w:val="22"/>
          <w:szCs w:val="22"/>
        </w:rPr>
        <w:t xml:space="preserve">Since then, we have screened 81 macrodomain targeted compounds, and have noted that the observed antiviral activity does not correlate well with the biochemical data (see Biochemical Core report), suggesting the antiviral activity may be from off-target effects. We have therefore paused this program while we explore the observed target engagement and the impact on SARS-CoV-2 infected cells. To further explore the impact of the of inhibiting macrodomain function during viral infection, we have observed global mono-ADP-ribosylation expression by IF, gated between infected and uninfected cell </w:t>
      </w:r>
      <w:proofErr w:type="gramStart"/>
      <w:r>
        <w:rPr>
          <w:rFonts w:ascii="Arial" w:eastAsia="Arial" w:hAnsi="Arial" w:cs="Arial"/>
          <w:sz w:val="22"/>
          <w:szCs w:val="22"/>
        </w:rPr>
        <w:t>populations</w:t>
      </w:r>
      <w:proofErr w:type="gramEnd"/>
    </w:p>
    <w:tbl>
      <w:tblPr>
        <w:tblStyle w:val="a0"/>
        <w:tblpPr w:leftFromText="187" w:rightFromText="187" w:vertAnchor="text" w:tblpY="1809"/>
        <w:tblW w:w="494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615"/>
        <w:gridCol w:w="830"/>
        <w:gridCol w:w="779"/>
        <w:gridCol w:w="941"/>
        <w:gridCol w:w="779"/>
      </w:tblGrid>
      <w:tr w:rsidR="00E77255" w14:paraId="517ED247" w14:textId="77777777" w:rsidTr="00E77255">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615" w:type="dxa"/>
            <w:tcBorders>
              <w:right w:val="single" w:sz="4" w:space="0" w:color="A5A5A5"/>
            </w:tcBorders>
            <w:shd w:val="clear" w:color="auto" w:fill="auto"/>
          </w:tcPr>
          <w:p w14:paraId="0000007F" w14:textId="77777777" w:rsidR="00E77255" w:rsidRDefault="00E77255">
            <w:pPr>
              <w:spacing w:after="80"/>
              <w:jc w:val="both"/>
              <w:rPr>
                <w:rFonts w:ascii="Arial" w:eastAsia="Arial" w:hAnsi="Arial" w:cs="Arial"/>
                <w:color w:val="000000"/>
                <w:sz w:val="22"/>
                <w:szCs w:val="22"/>
              </w:rPr>
            </w:pPr>
          </w:p>
        </w:tc>
        <w:tc>
          <w:tcPr>
            <w:tcW w:w="1609" w:type="dxa"/>
            <w:gridSpan w:val="2"/>
            <w:tcBorders>
              <w:top w:val="single" w:sz="4" w:space="0" w:color="A5A5A5"/>
              <w:left w:val="single" w:sz="4" w:space="0" w:color="A5A5A5"/>
              <w:bottom w:val="single" w:sz="4" w:space="0" w:color="A5A5A5"/>
              <w:right w:val="single" w:sz="4" w:space="0" w:color="A5A5A5"/>
            </w:tcBorders>
            <w:shd w:val="clear" w:color="auto" w:fill="auto"/>
          </w:tcPr>
          <w:p w14:paraId="00000080" w14:textId="77777777" w:rsidR="00E77255" w:rsidRDefault="00000000">
            <w:pPr>
              <w:spacing w:after="8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color w:val="000000"/>
                <w:sz w:val="22"/>
                <w:szCs w:val="22"/>
              </w:rPr>
              <w:t>SARS-CoV-2 HeLa-ACE2</w:t>
            </w:r>
          </w:p>
        </w:tc>
        <w:tc>
          <w:tcPr>
            <w:tcW w:w="1720" w:type="dxa"/>
            <w:gridSpan w:val="2"/>
            <w:tcBorders>
              <w:top w:val="single" w:sz="4" w:space="0" w:color="A5A5A5"/>
              <w:left w:val="single" w:sz="4" w:space="0" w:color="A5A5A5"/>
              <w:bottom w:val="single" w:sz="4" w:space="0" w:color="A5A5A5"/>
              <w:right w:val="single" w:sz="4" w:space="0" w:color="A5A5A5"/>
            </w:tcBorders>
            <w:shd w:val="clear" w:color="auto" w:fill="auto"/>
          </w:tcPr>
          <w:p w14:paraId="00000082" w14:textId="77777777" w:rsidR="00E77255" w:rsidRDefault="00000000">
            <w:pPr>
              <w:spacing w:after="8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color w:val="000000"/>
                <w:sz w:val="22"/>
                <w:szCs w:val="22"/>
              </w:rPr>
              <w:t>SARS-CoV-2 VLP</w:t>
            </w:r>
          </w:p>
          <w:p w14:paraId="00000083" w14:textId="77777777" w:rsidR="00E77255" w:rsidRDefault="00000000">
            <w:pPr>
              <w:spacing w:after="8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color w:val="000000"/>
                <w:sz w:val="22"/>
                <w:szCs w:val="22"/>
              </w:rPr>
              <w:t>293T</w:t>
            </w:r>
          </w:p>
        </w:tc>
      </w:tr>
      <w:tr w:rsidR="00E77255" w14:paraId="0955DF03" w14:textId="77777777" w:rsidTr="00E77255">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00000085" w14:textId="77777777" w:rsidR="00E77255" w:rsidRDefault="00000000">
            <w:pPr>
              <w:spacing w:after="80"/>
              <w:jc w:val="both"/>
              <w:rPr>
                <w:rFonts w:ascii="Arial" w:eastAsia="Arial" w:hAnsi="Arial" w:cs="Arial"/>
                <w:sz w:val="22"/>
                <w:szCs w:val="22"/>
              </w:rPr>
            </w:pPr>
            <w:r>
              <w:rPr>
                <w:rFonts w:ascii="Arial" w:eastAsia="Arial" w:hAnsi="Arial" w:cs="Arial"/>
                <w:sz w:val="22"/>
                <w:szCs w:val="22"/>
              </w:rPr>
              <w:t>Molecule Name</w:t>
            </w:r>
          </w:p>
        </w:tc>
        <w:tc>
          <w:tcPr>
            <w:tcW w:w="830" w:type="dxa"/>
            <w:tcBorders>
              <w:top w:val="single" w:sz="4" w:space="0" w:color="A5A5A5"/>
            </w:tcBorders>
            <w:shd w:val="clear" w:color="auto" w:fill="auto"/>
          </w:tcPr>
          <w:p w14:paraId="00000086"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rFonts w:ascii="Arial" w:eastAsia="Arial" w:hAnsi="Arial" w:cs="Arial"/>
                <w:b/>
                <w:sz w:val="22"/>
                <w:szCs w:val="22"/>
              </w:rPr>
              <w:t>EC50 (µM)</w:t>
            </w:r>
          </w:p>
        </w:tc>
        <w:tc>
          <w:tcPr>
            <w:tcW w:w="779" w:type="dxa"/>
            <w:tcBorders>
              <w:top w:val="single" w:sz="4" w:space="0" w:color="A5A5A5"/>
            </w:tcBorders>
            <w:shd w:val="clear" w:color="auto" w:fill="auto"/>
          </w:tcPr>
          <w:p w14:paraId="00000087"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rFonts w:ascii="Arial" w:eastAsia="Arial" w:hAnsi="Arial" w:cs="Arial"/>
                <w:b/>
                <w:sz w:val="22"/>
                <w:szCs w:val="22"/>
              </w:rPr>
              <w:t>CC50 (µM)</w:t>
            </w:r>
          </w:p>
        </w:tc>
        <w:tc>
          <w:tcPr>
            <w:tcW w:w="941" w:type="dxa"/>
            <w:tcBorders>
              <w:top w:val="single" w:sz="4" w:space="0" w:color="A5A5A5"/>
            </w:tcBorders>
            <w:shd w:val="clear" w:color="auto" w:fill="auto"/>
          </w:tcPr>
          <w:p w14:paraId="00000088"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rFonts w:ascii="Arial" w:eastAsia="Arial" w:hAnsi="Arial" w:cs="Arial"/>
                <w:b/>
                <w:sz w:val="22"/>
                <w:szCs w:val="22"/>
              </w:rPr>
              <w:t>EC50 (µM)</w:t>
            </w:r>
          </w:p>
        </w:tc>
        <w:tc>
          <w:tcPr>
            <w:tcW w:w="779" w:type="dxa"/>
            <w:tcBorders>
              <w:top w:val="single" w:sz="4" w:space="0" w:color="A5A5A5"/>
            </w:tcBorders>
            <w:shd w:val="clear" w:color="auto" w:fill="auto"/>
          </w:tcPr>
          <w:p w14:paraId="00000089"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rFonts w:ascii="Arial" w:eastAsia="Arial" w:hAnsi="Arial" w:cs="Arial"/>
                <w:b/>
                <w:sz w:val="22"/>
                <w:szCs w:val="22"/>
              </w:rPr>
              <w:t>CC50 (µM)</w:t>
            </w:r>
          </w:p>
        </w:tc>
      </w:tr>
      <w:tr w:rsidR="00E77255" w14:paraId="3E593B2D"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8A" w14:textId="77777777" w:rsidR="00E77255" w:rsidRDefault="00000000">
            <w:pPr>
              <w:spacing w:after="80"/>
              <w:jc w:val="both"/>
              <w:rPr>
                <w:rFonts w:ascii="Arial" w:eastAsia="Arial" w:hAnsi="Arial" w:cs="Arial"/>
                <w:sz w:val="22"/>
                <w:szCs w:val="22"/>
              </w:rPr>
            </w:pPr>
            <w:r>
              <w:rPr>
                <w:color w:val="000000"/>
                <w:sz w:val="22"/>
                <w:szCs w:val="22"/>
              </w:rPr>
              <w:t>Nirmatrelvir</w:t>
            </w:r>
          </w:p>
        </w:tc>
        <w:tc>
          <w:tcPr>
            <w:tcW w:w="830" w:type="dxa"/>
          </w:tcPr>
          <w:p w14:paraId="0000008B"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0.112</w:t>
            </w:r>
          </w:p>
        </w:tc>
        <w:tc>
          <w:tcPr>
            <w:tcW w:w="779" w:type="dxa"/>
          </w:tcPr>
          <w:p w14:paraId="0000008C"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10.0</w:t>
            </w:r>
          </w:p>
        </w:tc>
        <w:tc>
          <w:tcPr>
            <w:tcW w:w="941" w:type="dxa"/>
          </w:tcPr>
          <w:p w14:paraId="0000008D" w14:textId="77777777" w:rsidR="00E77255" w:rsidRDefault="00E77255">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p>
        </w:tc>
        <w:tc>
          <w:tcPr>
            <w:tcW w:w="779" w:type="dxa"/>
          </w:tcPr>
          <w:p w14:paraId="0000008E" w14:textId="77777777" w:rsidR="00E77255" w:rsidRDefault="00E77255">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p>
        </w:tc>
      </w:tr>
      <w:tr w:rsidR="00E77255" w14:paraId="003FF2F6"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8F" w14:textId="77777777" w:rsidR="00E77255" w:rsidRDefault="00000000">
            <w:pPr>
              <w:spacing w:after="80"/>
              <w:jc w:val="both"/>
              <w:rPr>
                <w:rFonts w:ascii="Arial" w:eastAsia="Arial" w:hAnsi="Arial" w:cs="Arial"/>
                <w:sz w:val="22"/>
                <w:szCs w:val="22"/>
              </w:rPr>
            </w:pPr>
            <w:r>
              <w:rPr>
                <w:color w:val="000000"/>
                <w:sz w:val="22"/>
                <w:szCs w:val="22"/>
              </w:rPr>
              <w:t>ASAP-0010877</w:t>
            </w:r>
          </w:p>
        </w:tc>
        <w:tc>
          <w:tcPr>
            <w:tcW w:w="830" w:type="dxa"/>
          </w:tcPr>
          <w:p w14:paraId="00000090"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0.404</w:t>
            </w:r>
          </w:p>
        </w:tc>
        <w:tc>
          <w:tcPr>
            <w:tcW w:w="779" w:type="dxa"/>
          </w:tcPr>
          <w:p w14:paraId="00000091"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5.43</w:t>
            </w:r>
          </w:p>
        </w:tc>
        <w:tc>
          <w:tcPr>
            <w:tcW w:w="941" w:type="dxa"/>
          </w:tcPr>
          <w:p w14:paraId="00000092"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0.773</w:t>
            </w:r>
          </w:p>
        </w:tc>
        <w:tc>
          <w:tcPr>
            <w:tcW w:w="779" w:type="dxa"/>
          </w:tcPr>
          <w:p w14:paraId="00000093"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49.9</w:t>
            </w:r>
          </w:p>
        </w:tc>
      </w:tr>
      <w:tr w:rsidR="00E77255" w14:paraId="30587107"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94" w14:textId="77777777" w:rsidR="00E77255" w:rsidRDefault="00000000">
            <w:pPr>
              <w:spacing w:after="80"/>
              <w:jc w:val="both"/>
              <w:rPr>
                <w:rFonts w:ascii="Arial" w:eastAsia="Arial" w:hAnsi="Arial" w:cs="Arial"/>
                <w:sz w:val="22"/>
                <w:szCs w:val="22"/>
              </w:rPr>
            </w:pPr>
            <w:r>
              <w:rPr>
                <w:color w:val="000000"/>
                <w:sz w:val="22"/>
                <w:szCs w:val="22"/>
              </w:rPr>
              <w:t>ASAP-0011004</w:t>
            </w:r>
          </w:p>
        </w:tc>
        <w:tc>
          <w:tcPr>
            <w:tcW w:w="830" w:type="dxa"/>
          </w:tcPr>
          <w:p w14:paraId="00000095"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1.18</w:t>
            </w:r>
          </w:p>
        </w:tc>
        <w:tc>
          <w:tcPr>
            <w:tcW w:w="779" w:type="dxa"/>
          </w:tcPr>
          <w:p w14:paraId="00000096"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50.0</w:t>
            </w:r>
          </w:p>
        </w:tc>
        <w:tc>
          <w:tcPr>
            <w:tcW w:w="941" w:type="dxa"/>
            <w:vAlign w:val="bottom"/>
          </w:tcPr>
          <w:p w14:paraId="00000097" w14:textId="77777777" w:rsidR="00E77255" w:rsidRDefault="00E77255">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p>
        </w:tc>
        <w:tc>
          <w:tcPr>
            <w:tcW w:w="779" w:type="dxa"/>
          </w:tcPr>
          <w:p w14:paraId="00000098"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48.7</w:t>
            </w:r>
          </w:p>
        </w:tc>
      </w:tr>
      <w:tr w:rsidR="00E77255" w14:paraId="4BF4F315"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99" w14:textId="77777777" w:rsidR="00E77255" w:rsidRDefault="00000000">
            <w:pPr>
              <w:spacing w:after="80"/>
              <w:jc w:val="both"/>
              <w:rPr>
                <w:rFonts w:ascii="Arial" w:eastAsia="Arial" w:hAnsi="Arial" w:cs="Arial"/>
                <w:sz w:val="22"/>
                <w:szCs w:val="22"/>
              </w:rPr>
            </w:pPr>
            <w:r>
              <w:rPr>
                <w:color w:val="000000"/>
                <w:sz w:val="22"/>
                <w:szCs w:val="22"/>
              </w:rPr>
              <w:t>ASAP-0010848</w:t>
            </w:r>
          </w:p>
        </w:tc>
        <w:tc>
          <w:tcPr>
            <w:tcW w:w="830" w:type="dxa"/>
          </w:tcPr>
          <w:p w14:paraId="0000009A"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4.31</w:t>
            </w:r>
          </w:p>
        </w:tc>
        <w:tc>
          <w:tcPr>
            <w:tcW w:w="779" w:type="dxa"/>
          </w:tcPr>
          <w:p w14:paraId="0000009B"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50.0</w:t>
            </w:r>
          </w:p>
        </w:tc>
        <w:tc>
          <w:tcPr>
            <w:tcW w:w="941" w:type="dxa"/>
            <w:vAlign w:val="bottom"/>
          </w:tcPr>
          <w:p w14:paraId="0000009C" w14:textId="77777777" w:rsidR="00E77255" w:rsidRDefault="00E77255">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p>
        </w:tc>
        <w:tc>
          <w:tcPr>
            <w:tcW w:w="779" w:type="dxa"/>
          </w:tcPr>
          <w:p w14:paraId="0000009D"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49.9</w:t>
            </w:r>
          </w:p>
        </w:tc>
      </w:tr>
      <w:tr w:rsidR="00E77255" w14:paraId="0F1E572E"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9E" w14:textId="77777777" w:rsidR="00E77255" w:rsidRDefault="00000000">
            <w:pPr>
              <w:spacing w:after="80"/>
              <w:jc w:val="both"/>
              <w:rPr>
                <w:rFonts w:ascii="Arial" w:eastAsia="Arial" w:hAnsi="Arial" w:cs="Arial"/>
                <w:sz w:val="22"/>
                <w:szCs w:val="22"/>
              </w:rPr>
            </w:pPr>
            <w:r>
              <w:rPr>
                <w:color w:val="000000"/>
                <w:sz w:val="22"/>
                <w:szCs w:val="22"/>
              </w:rPr>
              <w:lastRenderedPageBreak/>
              <w:t>ASAP-0010978</w:t>
            </w:r>
          </w:p>
        </w:tc>
        <w:tc>
          <w:tcPr>
            <w:tcW w:w="830" w:type="dxa"/>
          </w:tcPr>
          <w:p w14:paraId="0000009F"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7.83</w:t>
            </w:r>
          </w:p>
        </w:tc>
        <w:tc>
          <w:tcPr>
            <w:tcW w:w="779" w:type="dxa"/>
          </w:tcPr>
          <w:p w14:paraId="000000A0"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50.0</w:t>
            </w:r>
          </w:p>
        </w:tc>
        <w:tc>
          <w:tcPr>
            <w:tcW w:w="941" w:type="dxa"/>
            <w:vAlign w:val="bottom"/>
          </w:tcPr>
          <w:p w14:paraId="000000A1" w14:textId="77777777" w:rsidR="00E77255" w:rsidRDefault="00E77255">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p>
        </w:tc>
        <w:tc>
          <w:tcPr>
            <w:tcW w:w="779" w:type="dxa"/>
          </w:tcPr>
          <w:p w14:paraId="000000A2"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12.2</w:t>
            </w:r>
          </w:p>
        </w:tc>
      </w:tr>
      <w:tr w:rsidR="00E77255" w14:paraId="1A033E6E"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A3" w14:textId="77777777" w:rsidR="00E77255" w:rsidRDefault="00000000">
            <w:pPr>
              <w:spacing w:after="80"/>
              <w:jc w:val="both"/>
              <w:rPr>
                <w:rFonts w:ascii="Arial" w:eastAsia="Arial" w:hAnsi="Arial" w:cs="Arial"/>
                <w:sz w:val="22"/>
                <w:szCs w:val="22"/>
              </w:rPr>
            </w:pPr>
            <w:r>
              <w:rPr>
                <w:color w:val="000000"/>
                <w:sz w:val="22"/>
                <w:szCs w:val="22"/>
              </w:rPr>
              <w:t>ASAP-0010965</w:t>
            </w:r>
          </w:p>
        </w:tc>
        <w:tc>
          <w:tcPr>
            <w:tcW w:w="830" w:type="dxa"/>
          </w:tcPr>
          <w:p w14:paraId="000000A4"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8.17</w:t>
            </w:r>
          </w:p>
        </w:tc>
        <w:tc>
          <w:tcPr>
            <w:tcW w:w="779" w:type="dxa"/>
          </w:tcPr>
          <w:p w14:paraId="000000A5"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50.0</w:t>
            </w:r>
          </w:p>
        </w:tc>
        <w:tc>
          <w:tcPr>
            <w:tcW w:w="941" w:type="dxa"/>
          </w:tcPr>
          <w:p w14:paraId="000000A6"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5.338</w:t>
            </w:r>
          </w:p>
        </w:tc>
        <w:tc>
          <w:tcPr>
            <w:tcW w:w="779" w:type="dxa"/>
          </w:tcPr>
          <w:p w14:paraId="000000A7"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49.9</w:t>
            </w:r>
          </w:p>
        </w:tc>
      </w:tr>
      <w:tr w:rsidR="00E77255" w14:paraId="097EB6B7"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A8" w14:textId="77777777" w:rsidR="00E77255" w:rsidRDefault="00000000">
            <w:pPr>
              <w:spacing w:after="80"/>
              <w:jc w:val="both"/>
              <w:rPr>
                <w:rFonts w:ascii="Arial" w:eastAsia="Arial" w:hAnsi="Arial" w:cs="Arial"/>
                <w:sz w:val="22"/>
                <w:szCs w:val="22"/>
              </w:rPr>
            </w:pPr>
            <w:r>
              <w:rPr>
                <w:color w:val="000000"/>
                <w:sz w:val="22"/>
                <w:szCs w:val="22"/>
              </w:rPr>
              <w:t>ASAP-0010837</w:t>
            </w:r>
          </w:p>
        </w:tc>
        <w:tc>
          <w:tcPr>
            <w:tcW w:w="830" w:type="dxa"/>
          </w:tcPr>
          <w:p w14:paraId="000000A9"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12</w:t>
            </w:r>
          </w:p>
        </w:tc>
        <w:tc>
          <w:tcPr>
            <w:tcW w:w="779" w:type="dxa"/>
          </w:tcPr>
          <w:p w14:paraId="000000AA"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50.0</w:t>
            </w:r>
          </w:p>
        </w:tc>
        <w:tc>
          <w:tcPr>
            <w:tcW w:w="941" w:type="dxa"/>
            <w:vAlign w:val="bottom"/>
          </w:tcPr>
          <w:p w14:paraId="000000AB" w14:textId="77777777" w:rsidR="00E77255" w:rsidRDefault="00E77255">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p>
        </w:tc>
        <w:tc>
          <w:tcPr>
            <w:tcW w:w="779" w:type="dxa"/>
          </w:tcPr>
          <w:p w14:paraId="000000AC"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6.78</w:t>
            </w:r>
          </w:p>
        </w:tc>
      </w:tr>
      <w:tr w:rsidR="00E77255" w14:paraId="5D343929"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AD" w14:textId="77777777" w:rsidR="00E77255" w:rsidRDefault="00000000">
            <w:pPr>
              <w:spacing w:after="80"/>
              <w:jc w:val="both"/>
              <w:rPr>
                <w:rFonts w:ascii="Arial" w:eastAsia="Arial" w:hAnsi="Arial" w:cs="Arial"/>
                <w:sz w:val="22"/>
                <w:szCs w:val="22"/>
              </w:rPr>
            </w:pPr>
            <w:r>
              <w:rPr>
                <w:color w:val="000000"/>
                <w:sz w:val="22"/>
                <w:szCs w:val="22"/>
              </w:rPr>
              <w:t>ASAP-0011009</w:t>
            </w:r>
          </w:p>
        </w:tc>
        <w:tc>
          <w:tcPr>
            <w:tcW w:w="830" w:type="dxa"/>
          </w:tcPr>
          <w:p w14:paraId="000000AE"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17.5</w:t>
            </w:r>
          </w:p>
        </w:tc>
        <w:tc>
          <w:tcPr>
            <w:tcW w:w="779" w:type="dxa"/>
          </w:tcPr>
          <w:p w14:paraId="000000AF"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50.0</w:t>
            </w:r>
          </w:p>
        </w:tc>
        <w:tc>
          <w:tcPr>
            <w:tcW w:w="941" w:type="dxa"/>
            <w:vAlign w:val="bottom"/>
          </w:tcPr>
          <w:p w14:paraId="000000B0" w14:textId="77777777" w:rsidR="00E77255" w:rsidRDefault="00E77255">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p>
        </w:tc>
        <w:tc>
          <w:tcPr>
            <w:tcW w:w="779" w:type="dxa"/>
          </w:tcPr>
          <w:p w14:paraId="000000B1"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30.5</w:t>
            </w:r>
          </w:p>
        </w:tc>
      </w:tr>
      <w:tr w:rsidR="00E77255" w14:paraId="3781B9F4"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B2" w14:textId="77777777" w:rsidR="00E77255" w:rsidRDefault="00000000">
            <w:pPr>
              <w:spacing w:after="80"/>
              <w:jc w:val="both"/>
              <w:rPr>
                <w:rFonts w:ascii="Arial" w:eastAsia="Arial" w:hAnsi="Arial" w:cs="Arial"/>
                <w:sz w:val="22"/>
                <w:szCs w:val="22"/>
              </w:rPr>
            </w:pPr>
            <w:r>
              <w:rPr>
                <w:color w:val="000000"/>
                <w:sz w:val="22"/>
                <w:szCs w:val="22"/>
              </w:rPr>
              <w:t>ASAP-0010806</w:t>
            </w:r>
          </w:p>
        </w:tc>
        <w:tc>
          <w:tcPr>
            <w:tcW w:w="830" w:type="dxa"/>
          </w:tcPr>
          <w:p w14:paraId="000000B3"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18.7</w:t>
            </w:r>
          </w:p>
        </w:tc>
        <w:tc>
          <w:tcPr>
            <w:tcW w:w="779" w:type="dxa"/>
          </w:tcPr>
          <w:p w14:paraId="000000B4"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50.0</w:t>
            </w:r>
          </w:p>
        </w:tc>
        <w:tc>
          <w:tcPr>
            <w:tcW w:w="941" w:type="dxa"/>
            <w:vAlign w:val="bottom"/>
          </w:tcPr>
          <w:p w14:paraId="000000B5" w14:textId="77777777" w:rsidR="00E77255" w:rsidRDefault="00E77255">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p>
        </w:tc>
        <w:tc>
          <w:tcPr>
            <w:tcW w:w="779" w:type="dxa"/>
          </w:tcPr>
          <w:p w14:paraId="000000B6"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49.9</w:t>
            </w:r>
          </w:p>
        </w:tc>
      </w:tr>
      <w:tr w:rsidR="00E77255" w14:paraId="06C79A3D"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B7" w14:textId="77777777" w:rsidR="00E77255" w:rsidRDefault="00000000">
            <w:pPr>
              <w:spacing w:after="80"/>
              <w:jc w:val="both"/>
              <w:rPr>
                <w:rFonts w:ascii="Arial" w:eastAsia="Arial" w:hAnsi="Arial" w:cs="Arial"/>
                <w:sz w:val="22"/>
                <w:szCs w:val="22"/>
              </w:rPr>
            </w:pPr>
            <w:r>
              <w:rPr>
                <w:color w:val="000000"/>
                <w:sz w:val="22"/>
                <w:szCs w:val="22"/>
              </w:rPr>
              <w:t>ASAP-0011082</w:t>
            </w:r>
          </w:p>
        </w:tc>
        <w:tc>
          <w:tcPr>
            <w:tcW w:w="830" w:type="dxa"/>
          </w:tcPr>
          <w:p w14:paraId="000000B8"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20.2</w:t>
            </w:r>
          </w:p>
        </w:tc>
        <w:tc>
          <w:tcPr>
            <w:tcW w:w="779" w:type="dxa"/>
          </w:tcPr>
          <w:p w14:paraId="000000B9"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22.4</w:t>
            </w:r>
          </w:p>
        </w:tc>
        <w:tc>
          <w:tcPr>
            <w:tcW w:w="941" w:type="dxa"/>
            <w:vAlign w:val="bottom"/>
          </w:tcPr>
          <w:p w14:paraId="000000BA" w14:textId="77777777" w:rsidR="00E77255" w:rsidRDefault="00E77255">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p>
        </w:tc>
        <w:tc>
          <w:tcPr>
            <w:tcW w:w="779" w:type="dxa"/>
            <w:vAlign w:val="bottom"/>
          </w:tcPr>
          <w:p w14:paraId="000000BB" w14:textId="77777777" w:rsidR="00E77255" w:rsidRDefault="00E77255">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p>
        </w:tc>
      </w:tr>
      <w:tr w:rsidR="00E77255" w14:paraId="3274CC69"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BC" w14:textId="77777777" w:rsidR="00E77255" w:rsidRDefault="00000000">
            <w:pPr>
              <w:spacing w:after="80"/>
              <w:jc w:val="both"/>
              <w:rPr>
                <w:rFonts w:ascii="Arial" w:eastAsia="Arial" w:hAnsi="Arial" w:cs="Arial"/>
                <w:sz w:val="22"/>
                <w:szCs w:val="22"/>
              </w:rPr>
            </w:pPr>
            <w:r>
              <w:rPr>
                <w:color w:val="000000"/>
                <w:sz w:val="22"/>
                <w:szCs w:val="22"/>
              </w:rPr>
              <w:t>ASAP-0010801</w:t>
            </w:r>
          </w:p>
        </w:tc>
        <w:tc>
          <w:tcPr>
            <w:tcW w:w="830" w:type="dxa"/>
          </w:tcPr>
          <w:p w14:paraId="000000BD"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34.8</w:t>
            </w:r>
          </w:p>
        </w:tc>
        <w:tc>
          <w:tcPr>
            <w:tcW w:w="779" w:type="dxa"/>
          </w:tcPr>
          <w:p w14:paraId="000000BE"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50.0</w:t>
            </w:r>
          </w:p>
        </w:tc>
        <w:tc>
          <w:tcPr>
            <w:tcW w:w="941" w:type="dxa"/>
            <w:vAlign w:val="bottom"/>
          </w:tcPr>
          <w:p w14:paraId="000000BF" w14:textId="77777777" w:rsidR="00E77255" w:rsidRDefault="00E77255">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p>
        </w:tc>
        <w:tc>
          <w:tcPr>
            <w:tcW w:w="779" w:type="dxa"/>
          </w:tcPr>
          <w:p w14:paraId="000000C0"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18.7</w:t>
            </w:r>
          </w:p>
        </w:tc>
      </w:tr>
    </w:tbl>
    <w:p w14:paraId="000000C1" w14:textId="77777777" w:rsidR="00E77255" w:rsidRDefault="00000000">
      <w:pPr>
        <w:spacing w:after="80"/>
        <w:jc w:val="both"/>
        <w:rPr>
          <w:rFonts w:ascii="Arial" w:eastAsia="Arial" w:hAnsi="Arial" w:cs="Arial"/>
          <w:sz w:val="22"/>
          <w:szCs w:val="22"/>
        </w:rPr>
      </w:pPr>
      <w:r>
        <w:rPr>
          <w:rFonts w:ascii="Arial" w:eastAsia="Arial" w:hAnsi="Arial" w:cs="Arial"/>
          <w:sz w:val="22"/>
          <w:szCs w:val="22"/>
        </w:rPr>
        <w:t xml:space="preserve">within the same well. We have compared the mono-ADP-ribosylation states of uninfected and infected cells in the presence increasing amounts of 10 ASAP macrodomain compounds with differing profiles. In </w:t>
      </w:r>
      <w:r>
        <w:rPr>
          <w:rFonts w:ascii="Arial" w:eastAsia="Arial" w:hAnsi="Arial" w:cs="Arial"/>
          <w:b/>
          <w:sz w:val="22"/>
          <w:szCs w:val="22"/>
        </w:rPr>
        <w:t>Figure 2</w:t>
      </w:r>
      <w:r>
        <w:rPr>
          <w:rFonts w:ascii="Arial" w:eastAsia="Arial" w:hAnsi="Arial" w:cs="Arial"/>
          <w:sz w:val="22"/>
          <w:szCs w:val="22"/>
        </w:rPr>
        <w:t>, we show an example of two differing compounds, ASAP-0010715 and ASAP-0011184. ASAP-0010715 has weak biochemical macrodomain activity, but potent antiviral activity in our live-virus assay. ASAP-0011184 has potent biochemical macrodomain activity, but no detectable antiviral activity in our live-virus assay. We found significant increases in ADP-ribosylation mean fluorescence intensity can be detected with increasing concentrations of ASAP-0011184, but not ASAP-0010715. This would be expected for a macrodomain inhibitor, which functions to remove ADP-ribosylation modifications from proteins. This correlates well with the CETSA target engagement for these compounds and indicates that the observed antiviral activity of ASAP-0010715 is most likely off-target. This program will remain paused until a high-throughput cell-based assay can be established to drive SAR in lead optimization. We aim to disseminate the results in a forthcoming publication. All compound structures, biochemical activity data, cellular antiviral data, and ADMET data has already been released publicly.</w:t>
      </w:r>
      <w:r>
        <w:rPr>
          <w:noProof/>
        </w:rPr>
        <mc:AlternateContent>
          <mc:Choice Requires="wpg">
            <w:drawing>
              <wp:anchor distT="0" distB="0" distL="114300" distR="114300" simplePos="0" relativeHeight="251661312" behindDoc="0" locked="0" layoutInCell="1" hidden="0" allowOverlap="1" wp14:anchorId="74697EF2" wp14:editId="0E38082C">
                <wp:simplePos x="0" y="0"/>
                <wp:positionH relativeFrom="column">
                  <wp:posOffset>-76199</wp:posOffset>
                </wp:positionH>
                <wp:positionV relativeFrom="paragraph">
                  <wp:posOffset>257175</wp:posOffset>
                </wp:positionV>
                <wp:extent cx="3238500" cy="1522767"/>
                <wp:effectExtent l="0" t="0" r="0" b="0"/>
                <wp:wrapSquare wrapText="bothSides" distT="0" distB="0" distL="114300" distR="114300"/>
                <wp:docPr id="2055610279" name="Rectangle 2055610279"/>
                <wp:cNvGraphicFramePr/>
                <a:graphic xmlns:a="http://schemas.openxmlformats.org/drawingml/2006/main">
                  <a:graphicData uri="http://schemas.microsoft.com/office/word/2010/wordprocessingShape">
                    <wps:wsp>
                      <wps:cNvSpPr/>
                      <wps:spPr>
                        <a:xfrm>
                          <a:off x="3732465" y="2865600"/>
                          <a:ext cx="3227070" cy="1828800"/>
                        </a:xfrm>
                        <a:prstGeom prst="rect">
                          <a:avLst/>
                        </a:prstGeom>
                        <a:noFill/>
                        <a:ln w="9525" cap="flat" cmpd="sng">
                          <a:solidFill>
                            <a:srgbClr val="000000"/>
                          </a:solidFill>
                          <a:prstDash val="solid"/>
                          <a:round/>
                          <a:headEnd type="none" w="sm" len="sm"/>
                          <a:tailEnd type="none" w="sm" len="sm"/>
                        </a:ln>
                      </wps:spPr>
                      <wps:txbx>
                        <w:txbxContent>
                          <w:p w14:paraId="5F5D1B49" w14:textId="77777777" w:rsidR="00E77255" w:rsidRDefault="00000000">
                            <w:pPr>
                              <w:textDirection w:val="btLr"/>
                            </w:pPr>
                            <w:r>
                              <w:rPr>
                                <w:rFonts w:ascii="Arial" w:eastAsia="Arial" w:hAnsi="Arial" w:cs="Arial"/>
                                <w:b/>
                                <w:i/>
                                <w:color w:val="000000"/>
                                <w:sz w:val="16"/>
                              </w:rPr>
                              <w:t>Table 2. Top 10 hits from the ASAP SARS-CoV-2 Nucleoprotein program in live-virus and VLP cell-based assays. EC</w:t>
                            </w:r>
                            <w:r>
                              <w:rPr>
                                <w:rFonts w:ascii="Arial" w:eastAsia="Arial" w:hAnsi="Arial" w:cs="Arial"/>
                                <w:b/>
                                <w:i/>
                                <w:color w:val="000000"/>
                                <w:sz w:val="16"/>
                                <w:vertAlign w:val="subscript"/>
                              </w:rPr>
                              <w:t>50</w:t>
                            </w:r>
                            <w:r>
                              <w:rPr>
                                <w:rFonts w:ascii="Arial" w:eastAsia="Arial" w:hAnsi="Arial" w:cs="Arial"/>
                                <w:b/>
                                <w:i/>
                                <w:color w:val="000000"/>
                                <w:sz w:val="16"/>
                              </w:rPr>
                              <w:t xml:space="preserve">s are reported as the geometric mean of a minimum of two independent experiments run in triplicate in the AER assay.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257175</wp:posOffset>
                </wp:positionV>
                <wp:extent cx="3238500" cy="1522767"/>
                <wp:effectExtent b="0" l="0" r="0" t="0"/>
                <wp:wrapSquare wrapText="bothSides" distB="0" distT="0" distL="114300" distR="114300"/>
                <wp:docPr id="2055610279"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3238500" cy="1522767"/>
                        </a:xfrm>
                        <a:prstGeom prst="rect"/>
                        <a:ln/>
                      </pic:spPr>
                    </pic:pic>
                  </a:graphicData>
                </a:graphic>
              </wp:anchor>
            </w:drawing>
          </mc:Fallback>
        </mc:AlternateContent>
      </w:r>
    </w:p>
    <w:p w14:paraId="000000C2" w14:textId="77777777" w:rsidR="00E77255" w:rsidRDefault="00000000">
      <w:pPr>
        <w:spacing w:after="80"/>
        <w:jc w:val="both"/>
        <w:rPr>
          <w:rFonts w:ascii="Arial" w:eastAsia="Arial" w:hAnsi="Arial" w:cs="Arial"/>
          <w:b/>
          <w:sz w:val="22"/>
          <w:szCs w:val="22"/>
          <w:u w:val="single"/>
        </w:rPr>
      </w:pPr>
      <w:r>
        <w:rPr>
          <w:rFonts w:ascii="Arial" w:eastAsia="Arial" w:hAnsi="Arial" w:cs="Arial"/>
          <w:b/>
          <w:sz w:val="22"/>
          <w:szCs w:val="22"/>
          <w:u w:val="single"/>
        </w:rPr>
        <w:t>EV-D68/EV-A71 Programs</w:t>
      </w:r>
    </w:p>
    <w:p w14:paraId="000000C3" w14:textId="77777777" w:rsidR="00E77255" w:rsidRDefault="00000000">
      <w:pPr>
        <w:spacing w:after="80"/>
        <w:jc w:val="both"/>
        <w:rPr>
          <w:rFonts w:ascii="Arial" w:eastAsia="Arial" w:hAnsi="Arial" w:cs="Arial"/>
          <w:sz w:val="22"/>
          <w:szCs w:val="22"/>
        </w:rPr>
      </w:pPr>
      <w:r>
        <w:rPr>
          <w:rFonts w:ascii="Arial" w:eastAsia="Arial" w:hAnsi="Arial" w:cs="Arial"/>
          <w:sz w:val="22"/>
          <w:szCs w:val="22"/>
        </w:rPr>
        <w:t>There are currently no approved treatments for enterovirus infection. ASAP has multiple enterovirus programs which are progressing from Project 3 (Fragment-to-lead) toward Project 5 (Lead opt), which now require cell-based antiviral assay support to continue towards project transition. The Antiviral Core has established live-virus cell-based for EV-D68 (US/MO/14-18949) and EV-A71 (Strain H). These assay uses an 8-point dose-response of ASAP compounds added to RD cells 2 hours prior to infection with EV-D68/EV-A71 under BSL2 conditions. 24 hours later, the infected cells are fixed and stained with EV-VP1-specific monoclonal antibodies, and infected cells are quantified over total cells (DAPI) using our Cytation 1 plate cytometer. A cytotoxicity assay (MTT) is run in parallel in uninfected RD cells for all compounds. The assay was then standardized by generating EC</w:t>
      </w:r>
      <w:r>
        <w:rPr>
          <w:rFonts w:ascii="Arial" w:eastAsia="Arial" w:hAnsi="Arial" w:cs="Arial"/>
          <w:sz w:val="22"/>
          <w:szCs w:val="22"/>
          <w:vertAlign w:val="subscript"/>
        </w:rPr>
        <w:t>50</w:t>
      </w:r>
      <w:r>
        <w:rPr>
          <w:rFonts w:ascii="Arial" w:eastAsia="Arial" w:hAnsi="Arial" w:cs="Arial"/>
          <w:sz w:val="22"/>
          <w:szCs w:val="22"/>
        </w:rPr>
        <w:t>s for known EV inhibitors and comparing with published results for consistent potency values. The AER core has also engaged with the laboratory of Johan Neyts at KU Leuven to provide the planned back-up screening capacity for these two viruses to further confirm the accuracy of our results. The Neyts lab is providing CPE-based assays for both viruses in HeLa cells.</w:t>
      </w:r>
      <w:r>
        <w:rPr>
          <w:noProof/>
        </w:rPr>
        <w:drawing>
          <wp:anchor distT="0" distB="0" distL="114300" distR="114300" simplePos="0" relativeHeight="251662336" behindDoc="0" locked="0" layoutInCell="1" hidden="0" allowOverlap="1" wp14:anchorId="169E3603" wp14:editId="4E8AC324">
            <wp:simplePos x="0" y="0"/>
            <wp:positionH relativeFrom="column">
              <wp:posOffset>4138108</wp:posOffset>
            </wp:positionH>
            <wp:positionV relativeFrom="paragraph">
              <wp:posOffset>1425986</wp:posOffset>
            </wp:positionV>
            <wp:extent cx="2557780" cy="2511425"/>
            <wp:effectExtent l="0" t="0" r="0" b="0"/>
            <wp:wrapSquare wrapText="bothSides" distT="0" distB="0" distL="114300" distR="114300"/>
            <wp:docPr id="2055610283" name="image1.png" descr="A graph of different types of cell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graph of different types of cells&#10;&#10;Description automatically generated with medium confidence"/>
                    <pic:cNvPicPr preferRelativeResize="0"/>
                  </pic:nvPicPr>
                  <pic:blipFill>
                    <a:blip r:embed="rId15"/>
                    <a:srcRect/>
                    <a:stretch>
                      <a:fillRect/>
                    </a:stretch>
                  </pic:blipFill>
                  <pic:spPr>
                    <a:xfrm>
                      <a:off x="0" y="0"/>
                      <a:ext cx="2557780" cy="2511425"/>
                    </a:xfrm>
                    <a:prstGeom prst="rect">
                      <a:avLst/>
                    </a:prstGeom>
                    <a:ln/>
                  </pic:spPr>
                </pic:pic>
              </a:graphicData>
            </a:graphic>
          </wp:anchor>
        </w:drawing>
      </w:r>
    </w:p>
    <w:p w14:paraId="000000C4" w14:textId="77777777" w:rsidR="00E77255" w:rsidRDefault="00000000">
      <w:pPr>
        <w:spacing w:after="80"/>
        <w:jc w:val="both"/>
        <w:rPr>
          <w:rFonts w:ascii="Arial" w:eastAsia="Arial" w:hAnsi="Arial" w:cs="Arial"/>
          <w:b/>
          <w:sz w:val="22"/>
          <w:szCs w:val="22"/>
          <w:u w:val="single"/>
        </w:rPr>
      </w:pPr>
      <w:r>
        <w:rPr>
          <w:rFonts w:ascii="Arial" w:eastAsia="Arial" w:hAnsi="Arial" w:cs="Arial"/>
          <w:b/>
          <w:sz w:val="22"/>
          <w:szCs w:val="22"/>
          <w:u w:val="single"/>
        </w:rPr>
        <w:t>EV-D68/EV-A71 Capsid Program</w:t>
      </w:r>
    </w:p>
    <w:p w14:paraId="000000C5" w14:textId="77777777" w:rsidR="00E77255" w:rsidRDefault="00000000">
      <w:pPr>
        <w:spacing w:after="80"/>
        <w:jc w:val="both"/>
        <w:rPr>
          <w:rFonts w:ascii="Arial" w:eastAsia="Arial" w:hAnsi="Arial" w:cs="Arial"/>
          <w:sz w:val="22"/>
          <w:szCs w:val="22"/>
        </w:rPr>
      </w:pPr>
      <w:r>
        <w:rPr>
          <w:rFonts w:ascii="Arial" w:eastAsia="Arial" w:hAnsi="Arial" w:cs="Arial"/>
          <w:sz w:val="22"/>
          <w:szCs w:val="22"/>
        </w:rPr>
        <w:t xml:space="preserve">The ASAP consortium has a focus on unique structural targets that polymerize, such as capsid and nucleoproteins. Such targets offer dominant effects that make them potentially resistance refractory (See Project 1 for detailed discussion). While this program has just </w:t>
      </w:r>
      <w:proofErr w:type="gramStart"/>
      <w:r>
        <w:rPr>
          <w:rFonts w:ascii="Arial" w:eastAsia="Arial" w:hAnsi="Arial" w:cs="Arial"/>
          <w:sz w:val="22"/>
          <w:szCs w:val="22"/>
        </w:rPr>
        <w:t>entered into</w:t>
      </w:r>
      <w:proofErr w:type="gramEnd"/>
      <w:r>
        <w:rPr>
          <w:rFonts w:ascii="Arial" w:eastAsia="Arial" w:hAnsi="Arial" w:cs="Arial"/>
          <w:sz w:val="22"/>
          <w:szCs w:val="22"/>
        </w:rPr>
        <w:t xml:space="preserve"> cell-based assays, we have already identified multiple hits with sub-micromolar EC50s against EV-D68 </w:t>
      </w:r>
      <w:r>
        <w:rPr>
          <w:rFonts w:ascii="Arial" w:eastAsia="Arial" w:hAnsi="Arial" w:cs="Arial"/>
          <w:b/>
          <w:sz w:val="22"/>
          <w:szCs w:val="22"/>
        </w:rPr>
        <w:t>(Table 3)</w:t>
      </w:r>
      <w:r>
        <w:rPr>
          <w:rFonts w:ascii="Arial" w:eastAsia="Arial" w:hAnsi="Arial" w:cs="Arial"/>
          <w:sz w:val="22"/>
          <w:szCs w:val="22"/>
        </w:rPr>
        <w:t>, with our top hit ASAP-0017288 having a 63 nM EC50. The rupintrivir control had a 7 nM EC50, which is comparable to the literature reported EC50. We will continue to screen against EV-D68 and are now collecting our initial live-virus data for EV-A71, with the goal of broad-spectrum anti-enterovirus activity.</w:t>
      </w:r>
      <w:r>
        <w:rPr>
          <w:noProof/>
        </w:rPr>
        <mc:AlternateContent>
          <mc:Choice Requires="wpg">
            <w:drawing>
              <wp:anchor distT="0" distB="0" distL="114300" distR="114300" simplePos="0" relativeHeight="251663360" behindDoc="0" locked="0" layoutInCell="1" hidden="0" allowOverlap="1" wp14:anchorId="3C6D22CE" wp14:editId="41DD13CD">
                <wp:simplePos x="0" y="0"/>
                <wp:positionH relativeFrom="column">
                  <wp:posOffset>4165600</wp:posOffset>
                </wp:positionH>
                <wp:positionV relativeFrom="paragraph">
                  <wp:posOffset>342900</wp:posOffset>
                </wp:positionV>
                <wp:extent cx="2483485" cy="565150"/>
                <wp:effectExtent l="0" t="0" r="0" b="0"/>
                <wp:wrapSquare wrapText="bothSides" distT="0" distB="0" distL="114300" distR="114300"/>
                <wp:docPr id="2055610276" name="Rectangle 2055610276"/>
                <wp:cNvGraphicFramePr/>
                <a:graphic xmlns:a="http://schemas.openxmlformats.org/drawingml/2006/main">
                  <a:graphicData uri="http://schemas.microsoft.com/office/word/2010/wordprocessingShape">
                    <wps:wsp>
                      <wps:cNvSpPr/>
                      <wps:spPr>
                        <a:xfrm>
                          <a:off x="4109020" y="3502188"/>
                          <a:ext cx="2473960" cy="555625"/>
                        </a:xfrm>
                        <a:prstGeom prst="rect">
                          <a:avLst/>
                        </a:prstGeom>
                        <a:solidFill>
                          <a:srgbClr val="FFFFFF"/>
                        </a:solidFill>
                        <a:ln>
                          <a:noFill/>
                        </a:ln>
                      </wps:spPr>
                      <wps:txbx>
                        <w:txbxContent>
                          <w:p w14:paraId="6CBDEEE0" w14:textId="77777777" w:rsidR="00E77255" w:rsidRDefault="00000000">
                            <w:pPr>
                              <w:spacing w:before="120" w:after="120"/>
                              <w:textDirection w:val="btLr"/>
                            </w:pPr>
                            <w:proofErr w:type="gramStart"/>
                            <w:r>
                              <w:rPr>
                                <w:rFonts w:ascii="Arial" w:eastAsia="Arial" w:hAnsi="Arial" w:cs="Arial"/>
                                <w:b/>
                                <w:color w:val="000000"/>
                                <w:sz w:val="16"/>
                              </w:rPr>
                              <w:t>Figure  SEQ</w:t>
                            </w:r>
                            <w:proofErr w:type="gramEnd"/>
                            <w:r>
                              <w:rPr>
                                <w:rFonts w:ascii="Arial" w:eastAsia="Arial" w:hAnsi="Arial" w:cs="Arial"/>
                                <w:b/>
                                <w:color w:val="000000"/>
                                <w:sz w:val="16"/>
                              </w:rPr>
                              <w:t xml:space="preserve"> Figure \* ARABIC 2. Impact of macrodomain inhibitors on ADP-ribosylation states of infected cells. IF-staining integral mean intensity of mono-ADP-ribosylation. Biochemical and live-virus antiviral EC50s indicated.</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4165600</wp:posOffset>
                </wp:positionH>
                <wp:positionV relativeFrom="paragraph">
                  <wp:posOffset>342900</wp:posOffset>
                </wp:positionV>
                <wp:extent cx="2483485" cy="565150"/>
                <wp:effectExtent b="0" l="0" r="0" t="0"/>
                <wp:wrapSquare wrapText="bothSides" distB="0" distT="0" distL="114300" distR="114300"/>
                <wp:docPr id="2055610276"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2483485" cy="565150"/>
                        </a:xfrm>
                        <a:prstGeom prst="rect"/>
                        <a:ln/>
                      </pic:spPr>
                    </pic:pic>
                  </a:graphicData>
                </a:graphic>
              </wp:anchor>
            </w:drawing>
          </mc:Fallback>
        </mc:AlternateContent>
      </w:r>
    </w:p>
    <w:p w14:paraId="000000C6" w14:textId="77777777" w:rsidR="00E77255" w:rsidRDefault="00000000">
      <w:pPr>
        <w:spacing w:after="80"/>
        <w:jc w:val="both"/>
        <w:rPr>
          <w:rFonts w:ascii="Arial" w:eastAsia="Arial" w:hAnsi="Arial" w:cs="Arial"/>
          <w:b/>
          <w:sz w:val="22"/>
          <w:szCs w:val="22"/>
          <w:u w:val="single"/>
        </w:rPr>
      </w:pPr>
      <w:r>
        <w:rPr>
          <w:rFonts w:ascii="Arial" w:eastAsia="Arial" w:hAnsi="Arial" w:cs="Arial"/>
          <w:b/>
          <w:sz w:val="22"/>
          <w:szCs w:val="22"/>
          <w:u w:val="single"/>
        </w:rPr>
        <w:lastRenderedPageBreak/>
        <w:t>EV-D68/EV-A71 3CL Protease Program</w:t>
      </w:r>
      <w:r>
        <w:rPr>
          <w:noProof/>
        </w:rPr>
        <mc:AlternateContent>
          <mc:Choice Requires="wpg">
            <w:drawing>
              <wp:anchor distT="0" distB="0" distL="114300" distR="114300" simplePos="0" relativeHeight="251664384" behindDoc="0" locked="0" layoutInCell="1" hidden="0" allowOverlap="1" wp14:anchorId="594D6694" wp14:editId="09652412">
                <wp:simplePos x="0" y="0"/>
                <wp:positionH relativeFrom="column">
                  <wp:posOffset>1</wp:posOffset>
                </wp:positionH>
                <wp:positionV relativeFrom="paragraph">
                  <wp:posOffset>102677</wp:posOffset>
                </wp:positionV>
                <wp:extent cx="2131060" cy="1838325"/>
                <wp:effectExtent l="0" t="0" r="0" b="0"/>
                <wp:wrapSquare wrapText="bothSides" distT="0" distB="0" distL="114300" distR="114300"/>
                <wp:docPr id="2055610275" name="Rectangle 2055610275"/>
                <wp:cNvGraphicFramePr/>
                <a:graphic xmlns:a="http://schemas.openxmlformats.org/drawingml/2006/main">
                  <a:graphicData uri="http://schemas.microsoft.com/office/word/2010/wordprocessingShape">
                    <wps:wsp>
                      <wps:cNvSpPr/>
                      <wps:spPr>
                        <a:xfrm>
                          <a:off x="4285233" y="2865600"/>
                          <a:ext cx="2121535" cy="1828800"/>
                        </a:xfrm>
                        <a:prstGeom prst="rect">
                          <a:avLst/>
                        </a:prstGeom>
                        <a:noFill/>
                        <a:ln w="9525" cap="flat" cmpd="sng">
                          <a:solidFill>
                            <a:srgbClr val="000000"/>
                          </a:solidFill>
                          <a:prstDash val="solid"/>
                          <a:round/>
                          <a:headEnd type="none" w="sm" len="sm"/>
                          <a:tailEnd type="none" w="sm" len="sm"/>
                        </a:ln>
                      </wps:spPr>
                      <wps:txbx>
                        <w:txbxContent>
                          <w:p w14:paraId="06E5FEBB" w14:textId="77777777" w:rsidR="00E77255" w:rsidRDefault="00000000">
                            <w:pPr>
                              <w:textDirection w:val="btLr"/>
                            </w:pPr>
                            <w:r>
                              <w:rPr>
                                <w:rFonts w:ascii="Arial" w:eastAsia="Arial" w:hAnsi="Arial" w:cs="Arial"/>
                                <w:b/>
                                <w:i/>
                                <w:color w:val="000000"/>
                                <w:sz w:val="16"/>
                              </w:rPr>
                              <w:t>Table 3. Top 15 hits from the ASAP EV-D68/EV-A71 Capsid program in live-virus cell-based assays. EC</w:t>
                            </w:r>
                            <w:r>
                              <w:rPr>
                                <w:rFonts w:ascii="Arial" w:eastAsia="Arial" w:hAnsi="Arial" w:cs="Arial"/>
                                <w:b/>
                                <w:i/>
                                <w:color w:val="000000"/>
                                <w:sz w:val="16"/>
                                <w:vertAlign w:val="subscript"/>
                              </w:rPr>
                              <w:t>50</w:t>
                            </w:r>
                            <w:r>
                              <w:rPr>
                                <w:rFonts w:ascii="Arial" w:eastAsia="Arial" w:hAnsi="Arial" w:cs="Arial"/>
                                <w:b/>
                                <w:i/>
                                <w:color w:val="000000"/>
                                <w:sz w:val="16"/>
                              </w:rPr>
                              <w:t xml:space="preserve">s are reported as the geometric mean of a minimum of two independent experiments run in triplicate in the AER live-virus antiviral assay.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102677</wp:posOffset>
                </wp:positionV>
                <wp:extent cx="2131060" cy="1838325"/>
                <wp:effectExtent b="0" l="0" r="0" t="0"/>
                <wp:wrapSquare wrapText="bothSides" distB="0" distT="0" distL="114300" distR="114300"/>
                <wp:docPr id="2055610275"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2131060" cy="1838325"/>
                        </a:xfrm>
                        <a:prstGeom prst="rect"/>
                        <a:ln/>
                      </pic:spPr>
                    </pic:pic>
                  </a:graphicData>
                </a:graphic>
              </wp:anchor>
            </w:drawing>
          </mc:Fallback>
        </mc:AlternateContent>
      </w:r>
    </w:p>
    <w:tbl>
      <w:tblPr>
        <w:tblStyle w:val="a1"/>
        <w:tblpPr w:leftFromText="187" w:rightFromText="187" w:vertAnchor="text" w:tblpY="1446"/>
        <w:tblW w:w="322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615"/>
        <w:gridCol w:w="830"/>
        <w:gridCol w:w="779"/>
      </w:tblGrid>
      <w:tr w:rsidR="00E77255" w14:paraId="4069FECF" w14:textId="77777777" w:rsidTr="00E77255">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615" w:type="dxa"/>
            <w:tcBorders>
              <w:right w:val="single" w:sz="4" w:space="0" w:color="A5A5A5"/>
            </w:tcBorders>
            <w:shd w:val="clear" w:color="auto" w:fill="auto"/>
          </w:tcPr>
          <w:p w14:paraId="000000C7" w14:textId="77777777" w:rsidR="00E77255" w:rsidRDefault="00E77255">
            <w:pPr>
              <w:spacing w:after="80"/>
              <w:jc w:val="both"/>
              <w:rPr>
                <w:rFonts w:ascii="Arial" w:eastAsia="Arial" w:hAnsi="Arial" w:cs="Arial"/>
                <w:color w:val="000000"/>
                <w:sz w:val="22"/>
                <w:szCs w:val="22"/>
              </w:rPr>
            </w:pPr>
          </w:p>
        </w:tc>
        <w:tc>
          <w:tcPr>
            <w:tcW w:w="1609" w:type="dxa"/>
            <w:gridSpan w:val="2"/>
            <w:tcBorders>
              <w:top w:val="single" w:sz="4" w:space="0" w:color="A5A5A5"/>
              <w:left w:val="single" w:sz="4" w:space="0" w:color="A5A5A5"/>
              <w:bottom w:val="single" w:sz="4" w:space="0" w:color="A5A5A5"/>
              <w:right w:val="single" w:sz="4" w:space="0" w:color="A5A5A5"/>
            </w:tcBorders>
            <w:shd w:val="clear" w:color="auto" w:fill="auto"/>
          </w:tcPr>
          <w:p w14:paraId="000000C8" w14:textId="77777777" w:rsidR="00E77255" w:rsidRDefault="00000000">
            <w:pPr>
              <w:spacing w:after="8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color w:val="000000"/>
                <w:sz w:val="22"/>
                <w:szCs w:val="22"/>
              </w:rPr>
              <w:t xml:space="preserve">EV-D68 </w:t>
            </w:r>
          </w:p>
          <w:p w14:paraId="000000C9" w14:textId="77777777" w:rsidR="00E77255" w:rsidRDefault="00000000">
            <w:pPr>
              <w:spacing w:after="8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color w:val="000000"/>
                <w:sz w:val="22"/>
                <w:szCs w:val="22"/>
              </w:rPr>
              <w:t>RD Cells</w:t>
            </w:r>
          </w:p>
        </w:tc>
      </w:tr>
      <w:tr w:rsidR="00E77255" w14:paraId="3D6131DA" w14:textId="77777777" w:rsidTr="00E77255">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000000CB" w14:textId="77777777" w:rsidR="00E77255" w:rsidRDefault="00000000">
            <w:pPr>
              <w:spacing w:after="80"/>
              <w:jc w:val="both"/>
              <w:rPr>
                <w:rFonts w:ascii="Arial" w:eastAsia="Arial" w:hAnsi="Arial" w:cs="Arial"/>
                <w:sz w:val="22"/>
                <w:szCs w:val="22"/>
              </w:rPr>
            </w:pPr>
            <w:r>
              <w:rPr>
                <w:rFonts w:ascii="Arial" w:eastAsia="Arial" w:hAnsi="Arial" w:cs="Arial"/>
                <w:sz w:val="22"/>
                <w:szCs w:val="22"/>
              </w:rPr>
              <w:t>Molecule Name</w:t>
            </w:r>
          </w:p>
        </w:tc>
        <w:tc>
          <w:tcPr>
            <w:tcW w:w="830" w:type="dxa"/>
            <w:tcBorders>
              <w:top w:val="single" w:sz="4" w:space="0" w:color="A5A5A5"/>
            </w:tcBorders>
            <w:shd w:val="clear" w:color="auto" w:fill="auto"/>
          </w:tcPr>
          <w:p w14:paraId="000000CC"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rFonts w:ascii="Arial" w:eastAsia="Arial" w:hAnsi="Arial" w:cs="Arial"/>
                <w:b/>
                <w:sz w:val="22"/>
                <w:szCs w:val="22"/>
              </w:rPr>
              <w:t>EC50 (µM)</w:t>
            </w:r>
          </w:p>
        </w:tc>
        <w:tc>
          <w:tcPr>
            <w:tcW w:w="779" w:type="dxa"/>
            <w:tcBorders>
              <w:top w:val="single" w:sz="4" w:space="0" w:color="A5A5A5"/>
            </w:tcBorders>
            <w:shd w:val="clear" w:color="auto" w:fill="auto"/>
          </w:tcPr>
          <w:p w14:paraId="000000CD"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rFonts w:ascii="Arial" w:eastAsia="Arial" w:hAnsi="Arial" w:cs="Arial"/>
                <w:b/>
                <w:sz w:val="22"/>
                <w:szCs w:val="22"/>
              </w:rPr>
              <w:t>CC50 (µM)</w:t>
            </w:r>
          </w:p>
        </w:tc>
      </w:tr>
      <w:tr w:rsidR="00E77255" w14:paraId="54C24C30"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CE" w14:textId="77777777" w:rsidR="00E77255" w:rsidRDefault="00000000">
            <w:pPr>
              <w:spacing w:after="80"/>
              <w:jc w:val="both"/>
              <w:rPr>
                <w:color w:val="000000"/>
                <w:sz w:val="22"/>
                <w:szCs w:val="22"/>
              </w:rPr>
            </w:pPr>
            <w:r>
              <w:rPr>
                <w:color w:val="000000"/>
                <w:sz w:val="22"/>
                <w:szCs w:val="22"/>
              </w:rPr>
              <w:t>Rupintrivir</w:t>
            </w:r>
          </w:p>
        </w:tc>
        <w:tc>
          <w:tcPr>
            <w:tcW w:w="830" w:type="dxa"/>
          </w:tcPr>
          <w:p w14:paraId="000000CF"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0.007</w:t>
            </w:r>
          </w:p>
        </w:tc>
        <w:tc>
          <w:tcPr>
            <w:tcW w:w="779" w:type="dxa"/>
          </w:tcPr>
          <w:p w14:paraId="000000D0"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&gt; 5.00</w:t>
            </w:r>
          </w:p>
        </w:tc>
      </w:tr>
      <w:tr w:rsidR="00E77255" w14:paraId="3CF1BF08"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D1" w14:textId="77777777" w:rsidR="00E77255" w:rsidRDefault="00000000">
            <w:pPr>
              <w:spacing w:after="80"/>
              <w:jc w:val="both"/>
              <w:rPr>
                <w:rFonts w:ascii="Arial" w:eastAsia="Arial" w:hAnsi="Arial" w:cs="Arial"/>
                <w:sz w:val="22"/>
                <w:szCs w:val="22"/>
              </w:rPr>
            </w:pPr>
            <w:r>
              <w:rPr>
                <w:color w:val="000000"/>
                <w:sz w:val="22"/>
                <w:szCs w:val="22"/>
              </w:rPr>
              <w:t>ASAP-0017288</w:t>
            </w:r>
          </w:p>
        </w:tc>
        <w:tc>
          <w:tcPr>
            <w:tcW w:w="830" w:type="dxa"/>
          </w:tcPr>
          <w:p w14:paraId="000000D2"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0.063</w:t>
            </w:r>
          </w:p>
        </w:tc>
        <w:tc>
          <w:tcPr>
            <w:tcW w:w="779" w:type="dxa"/>
          </w:tcPr>
          <w:p w14:paraId="000000D3"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5.00</w:t>
            </w:r>
          </w:p>
        </w:tc>
      </w:tr>
      <w:tr w:rsidR="00E77255" w14:paraId="213A5779"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D4" w14:textId="77777777" w:rsidR="00E77255" w:rsidRDefault="00000000">
            <w:pPr>
              <w:spacing w:after="80"/>
              <w:jc w:val="both"/>
              <w:rPr>
                <w:rFonts w:ascii="Arial" w:eastAsia="Arial" w:hAnsi="Arial" w:cs="Arial"/>
                <w:sz w:val="22"/>
                <w:szCs w:val="22"/>
              </w:rPr>
            </w:pPr>
            <w:r>
              <w:rPr>
                <w:color w:val="000000"/>
                <w:sz w:val="22"/>
                <w:szCs w:val="22"/>
              </w:rPr>
              <w:t>ASAP-0017291</w:t>
            </w:r>
          </w:p>
        </w:tc>
        <w:tc>
          <w:tcPr>
            <w:tcW w:w="830" w:type="dxa"/>
          </w:tcPr>
          <w:p w14:paraId="000000D5"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0.16</w:t>
            </w:r>
          </w:p>
        </w:tc>
        <w:tc>
          <w:tcPr>
            <w:tcW w:w="779" w:type="dxa"/>
          </w:tcPr>
          <w:p w14:paraId="000000D6"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5.00</w:t>
            </w:r>
          </w:p>
        </w:tc>
      </w:tr>
      <w:tr w:rsidR="00E77255" w14:paraId="563A6DF6"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D7" w14:textId="77777777" w:rsidR="00E77255" w:rsidRDefault="00000000">
            <w:pPr>
              <w:spacing w:after="80"/>
              <w:jc w:val="both"/>
              <w:rPr>
                <w:rFonts w:ascii="Arial" w:eastAsia="Arial" w:hAnsi="Arial" w:cs="Arial"/>
                <w:sz w:val="22"/>
                <w:szCs w:val="22"/>
              </w:rPr>
            </w:pPr>
            <w:r>
              <w:rPr>
                <w:color w:val="000000"/>
                <w:sz w:val="22"/>
                <w:szCs w:val="22"/>
              </w:rPr>
              <w:t>ASAP-0017289</w:t>
            </w:r>
          </w:p>
        </w:tc>
        <w:tc>
          <w:tcPr>
            <w:tcW w:w="830" w:type="dxa"/>
          </w:tcPr>
          <w:p w14:paraId="000000D8"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0.208</w:t>
            </w:r>
          </w:p>
        </w:tc>
        <w:tc>
          <w:tcPr>
            <w:tcW w:w="779" w:type="dxa"/>
          </w:tcPr>
          <w:p w14:paraId="000000D9"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5.00</w:t>
            </w:r>
          </w:p>
        </w:tc>
      </w:tr>
      <w:tr w:rsidR="00E77255" w14:paraId="1A994844"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DA" w14:textId="77777777" w:rsidR="00E77255" w:rsidRDefault="00000000">
            <w:pPr>
              <w:spacing w:after="80"/>
              <w:jc w:val="both"/>
              <w:rPr>
                <w:rFonts w:ascii="Arial" w:eastAsia="Arial" w:hAnsi="Arial" w:cs="Arial"/>
                <w:sz w:val="22"/>
                <w:szCs w:val="22"/>
              </w:rPr>
            </w:pPr>
            <w:r>
              <w:rPr>
                <w:color w:val="000000"/>
                <w:sz w:val="22"/>
                <w:szCs w:val="22"/>
              </w:rPr>
              <w:t>ASAP-0017285</w:t>
            </w:r>
          </w:p>
        </w:tc>
        <w:tc>
          <w:tcPr>
            <w:tcW w:w="830" w:type="dxa"/>
          </w:tcPr>
          <w:p w14:paraId="000000DB"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0.364</w:t>
            </w:r>
          </w:p>
        </w:tc>
        <w:tc>
          <w:tcPr>
            <w:tcW w:w="779" w:type="dxa"/>
          </w:tcPr>
          <w:p w14:paraId="000000DC"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5.00</w:t>
            </w:r>
          </w:p>
        </w:tc>
      </w:tr>
      <w:tr w:rsidR="00E77255" w14:paraId="057620A3"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DD" w14:textId="77777777" w:rsidR="00E77255" w:rsidRDefault="00000000">
            <w:pPr>
              <w:spacing w:after="80"/>
              <w:jc w:val="both"/>
              <w:rPr>
                <w:rFonts w:ascii="Arial" w:eastAsia="Arial" w:hAnsi="Arial" w:cs="Arial"/>
                <w:sz w:val="22"/>
                <w:szCs w:val="22"/>
              </w:rPr>
            </w:pPr>
            <w:r>
              <w:rPr>
                <w:color w:val="000000"/>
                <w:sz w:val="22"/>
                <w:szCs w:val="22"/>
              </w:rPr>
              <w:t>ASAP-0017292</w:t>
            </w:r>
          </w:p>
        </w:tc>
        <w:tc>
          <w:tcPr>
            <w:tcW w:w="830" w:type="dxa"/>
          </w:tcPr>
          <w:p w14:paraId="000000DE"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0.478</w:t>
            </w:r>
          </w:p>
        </w:tc>
        <w:tc>
          <w:tcPr>
            <w:tcW w:w="779" w:type="dxa"/>
          </w:tcPr>
          <w:p w14:paraId="000000DF"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5.00</w:t>
            </w:r>
          </w:p>
        </w:tc>
      </w:tr>
      <w:tr w:rsidR="00E77255" w14:paraId="1FCECF14"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E0" w14:textId="77777777" w:rsidR="00E77255" w:rsidRDefault="00000000">
            <w:pPr>
              <w:spacing w:after="80"/>
              <w:jc w:val="both"/>
              <w:rPr>
                <w:rFonts w:ascii="Arial" w:eastAsia="Arial" w:hAnsi="Arial" w:cs="Arial"/>
                <w:sz w:val="22"/>
                <w:szCs w:val="22"/>
              </w:rPr>
            </w:pPr>
            <w:r>
              <w:rPr>
                <w:color w:val="000000"/>
                <w:sz w:val="22"/>
                <w:szCs w:val="22"/>
              </w:rPr>
              <w:t>ASAP-0017286</w:t>
            </w:r>
          </w:p>
        </w:tc>
        <w:tc>
          <w:tcPr>
            <w:tcW w:w="830" w:type="dxa"/>
          </w:tcPr>
          <w:p w14:paraId="000000E1"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0.52</w:t>
            </w:r>
          </w:p>
        </w:tc>
        <w:tc>
          <w:tcPr>
            <w:tcW w:w="779" w:type="dxa"/>
          </w:tcPr>
          <w:p w14:paraId="000000E2"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5.00</w:t>
            </w:r>
          </w:p>
        </w:tc>
      </w:tr>
      <w:tr w:rsidR="00E77255" w14:paraId="5BEAFF24"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E3" w14:textId="77777777" w:rsidR="00E77255" w:rsidRDefault="00000000">
            <w:pPr>
              <w:spacing w:after="80"/>
              <w:jc w:val="both"/>
              <w:rPr>
                <w:rFonts w:ascii="Arial" w:eastAsia="Arial" w:hAnsi="Arial" w:cs="Arial"/>
                <w:sz w:val="22"/>
                <w:szCs w:val="22"/>
              </w:rPr>
            </w:pPr>
            <w:r>
              <w:rPr>
                <w:color w:val="000000"/>
                <w:sz w:val="22"/>
                <w:szCs w:val="22"/>
              </w:rPr>
              <w:t>ASAP-0017294</w:t>
            </w:r>
          </w:p>
        </w:tc>
        <w:tc>
          <w:tcPr>
            <w:tcW w:w="830" w:type="dxa"/>
          </w:tcPr>
          <w:p w14:paraId="000000E4"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0.574</w:t>
            </w:r>
          </w:p>
        </w:tc>
        <w:tc>
          <w:tcPr>
            <w:tcW w:w="779" w:type="dxa"/>
          </w:tcPr>
          <w:p w14:paraId="000000E5"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5.00</w:t>
            </w:r>
          </w:p>
        </w:tc>
      </w:tr>
      <w:tr w:rsidR="00E77255" w14:paraId="614AEFDA"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E6" w14:textId="77777777" w:rsidR="00E77255" w:rsidRDefault="00000000">
            <w:pPr>
              <w:spacing w:after="80"/>
              <w:jc w:val="both"/>
              <w:rPr>
                <w:rFonts w:ascii="Arial" w:eastAsia="Arial" w:hAnsi="Arial" w:cs="Arial"/>
                <w:sz w:val="22"/>
                <w:szCs w:val="22"/>
              </w:rPr>
            </w:pPr>
            <w:r>
              <w:rPr>
                <w:color w:val="000000"/>
                <w:sz w:val="22"/>
                <w:szCs w:val="22"/>
              </w:rPr>
              <w:t>ASAP-0017295</w:t>
            </w:r>
          </w:p>
        </w:tc>
        <w:tc>
          <w:tcPr>
            <w:tcW w:w="830" w:type="dxa"/>
          </w:tcPr>
          <w:p w14:paraId="000000E7"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0.861</w:t>
            </w:r>
          </w:p>
        </w:tc>
        <w:tc>
          <w:tcPr>
            <w:tcW w:w="779" w:type="dxa"/>
          </w:tcPr>
          <w:p w14:paraId="000000E8"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5.00</w:t>
            </w:r>
          </w:p>
        </w:tc>
      </w:tr>
      <w:tr w:rsidR="00E77255" w14:paraId="12E06DFE"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E9" w14:textId="77777777" w:rsidR="00E77255" w:rsidRDefault="00000000">
            <w:pPr>
              <w:spacing w:after="80"/>
              <w:jc w:val="both"/>
              <w:rPr>
                <w:rFonts w:ascii="Arial" w:eastAsia="Arial" w:hAnsi="Arial" w:cs="Arial"/>
                <w:sz w:val="22"/>
                <w:szCs w:val="22"/>
              </w:rPr>
            </w:pPr>
            <w:r>
              <w:rPr>
                <w:color w:val="000000"/>
                <w:sz w:val="22"/>
                <w:szCs w:val="22"/>
              </w:rPr>
              <w:t>ASAP-0017287</w:t>
            </w:r>
          </w:p>
        </w:tc>
        <w:tc>
          <w:tcPr>
            <w:tcW w:w="830" w:type="dxa"/>
          </w:tcPr>
          <w:p w14:paraId="000000EA"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1.37</w:t>
            </w:r>
          </w:p>
        </w:tc>
        <w:tc>
          <w:tcPr>
            <w:tcW w:w="779" w:type="dxa"/>
          </w:tcPr>
          <w:p w14:paraId="000000EB"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5.00</w:t>
            </w:r>
          </w:p>
        </w:tc>
      </w:tr>
      <w:tr w:rsidR="00E77255" w14:paraId="46E85D0C"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EC" w14:textId="77777777" w:rsidR="00E77255" w:rsidRDefault="00000000">
            <w:pPr>
              <w:spacing w:after="80"/>
              <w:jc w:val="both"/>
              <w:rPr>
                <w:rFonts w:ascii="Arial" w:eastAsia="Arial" w:hAnsi="Arial" w:cs="Arial"/>
                <w:sz w:val="22"/>
                <w:szCs w:val="22"/>
              </w:rPr>
            </w:pPr>
            <w:r>
              <w:rPr>
                <w:color w:val="000000"/>
                <w:sz w:val="22"/>
                <w:szCs w:val="22"/>
              </w:rPr>
              <w:t>ASAP-0017290</w:t>
            </w:r>
          </w:p>
        </w:tc>
        <w:tc>
          <w:tcPr>
            <w:tcW w:w="830" w:type="dxa"/>
          </w:tcPr>
          <w:p w14:paraId="000000ED"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1.51</w:t>
            </w:r>
          </w:p>
        </w:tc>
        <w:tc>
          <w:tcPr>
            <w:tcW w:w="779" w:type="dxa"/>
          </w:tcPr>
          <w:p w14:paraId="000000EE"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5.00</w:t>
            </w:r>
          </w:p>
        </w:tc>
      </w:tr>
      <w:tr w:rsidR="00E77255" w14:paraId="5B4682E7"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EF" w14:textId="77777777" w:rsidR="00E77255" w:rsidRDefault="00000000">
            <w:pPr>
              <w:spacing w:after="80"/>
              <w:jc w:val="both"/>
              <w:rPr>
                <w:rFonts w:ascii="Arial" w:eastAsia="Arial" w:hAnsi="Arial" w:cs="Arial"/>
                <w:sz w:val="22"/>
                <w:szCs w:val="22"/>
              </w:rPr>
            </w:pPr>
            <w:r>
              <w:rPr>
                <w:color w:val="000000"/>
                <w:sz w:val="22"/>
                <w:szCs w:val="22"/>
              </w:rPr>
              <w:t>ASAP-0017284</w:t>
            </w:r>
          </w:p>
        </w:tc>
        <w:tc>
          <w:tcPr>
            <w:tcW w:w="830" w:type="dxa"/>
          </w:tcPr>
          <w:p w14:paraId="000000F0"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5.15</w:t>
            </w:r>
          </w:p>
        </w:tc>
        <w:tc>
          <w:tcPr>
            <w:tcW w:w="779" w:type="dxa"/>
          </w:tcPr>
          <w:p w14:paraId="000000F1"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5.00</w:t>
            </w:r>
          </w:p>
        </w:tc>
      </w:tr>
      <w:tr w:rsidR="00E77255" w14:paraId="3B18C730"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F2" w14:textId="77777777" w:rsidR="00E77255" w:rsidRDefault="00000000">
            <w:pPr>
              <w:spacing w:after="80"/>
              <w:jc w:val="both"/>
              <w:rPr>
                <w:rFonts w:ascii="Arial" w:eastAsia="Arial" w:hAnsi="Arial" w:cs="Arial"/>
                <w:sz w:val="22"/>
                <w:szCs w:val="22"/>
              </w:rPr>
            </w:pPr>
            <w:r>
              <w:rPr>
                <w:color w:val="000000"/>
                <w:sz w:val="22"/>
                <w:szCs w:val="22"/>
              </w:rPr>
              <w:t>ASAP-0017293</w:t>
            </w:r>
          </w:p>
        </w:tc>
        <w:tc>
          <w:tcPr>
            <w:tcW w:w="830" w:type="dxa"/>
          </w:tcPr>
          <w:p w14:paraId="000000F3"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18.5</w:t>
            </w:r>
          </w:p>
        </w:tc>
        <w:tc>
          <w:tcPr>
            <w:tcW w:w="779" w:type="dxa"/>
          </w:tcPr>
          <w:p w14:paraId="000000F4"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5.00</w:t>
            </w:r>
          </w:p>
        </w:tc>
      </w:tr>
      <w:tr w:rsidR="00E77255" w14:paraId="409E4C29"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F5" w14:textId="77777777" w:rsidR="00E77255" w:rsidRDefault="00000000">
            <w:pPr>
              <w:spacing w:after="80"/>
              <w:jc w:val="both"/>
              <w:rPr>
                <w:rFonts w:ascii="Arial" w:eastAsia="Arial" w:hAnsi="Arial" w:cs="Arial"/>
                <w:sz w:val="22"/>
                <w:szCs w:val="22"/>
              </w:rPr>
            </w:pPr>
            <w:r>
              <w:rPr>
                <w:color w:val="000000"/>
                <w:sz w:val="22"/>
                <w:szCs w:val="22"/>
              </w:rPr>
              <w:t>ASAP-0017296</w:t>
            </w:r>
          </w:p>
        </w:tc>
        <w:tc>
          <w:tcPr>
            <w:tcW w:w="830" w:type="dxa"/>
          </w:tcPr>
          <w:p w14:paraId="000000F6"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50.0</w:t>
            </w:r>
          </w:p>
        </w:tc>
        <w:tc>
          <w:tcPr>
            <w:tcW w:w="779" w:type="dxa"/>
          </w:tcPr>
          <w:p w14:paraId="000000F7"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5.00</w:t>
            </w:r>
          </w:p>
        </w:tc>
      </w:tr>
      <w:tr w:rsidR="00E77255" w14:paraId="13DCA4ED"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F8" w14:textId="77777777" w:rsidR="00E77255" w:rsidRDefault="00000000">
            <w:pPr>
              <w:spacing w:after="80"/>
              <w:jc w:val="both"/>
              <w:rPr>
                <w:rFonts w:ascii="Arial" w:eastAsia="Arial" w:hAnsi="Arial" w:cs="Arial"/>
                <w:sz w:val="22"/>
                <w:szCs w:val="22"/>
              </w:rPr>
            </w:pPr>
            <w:r>
              <w:rPr>
                <w:color w:val="000000"/>
                <w:sz w:val="22"/>
                <w:szCs w:val="22"/>
              </w:rPr>
              <w:t>ASAP-0017297</w:t>
            </w:r>
          </w:p>
        </w:tc>
        <w:tc>
          <w:tcPr>
            <w:tcW w:w="830" w:type="dxa"/>
          </w:tcPr>
          <w:p w14:paraId="000000F9"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50.0</w:t>
            </w:r>
          </w:p>
        </w:tc>
        <w:tc>
          <w:tcPr>
            <w:tcW w:w="779" w:type="dxa"/>
          </w:tcPr>
          <w:p w14:paraId="000000FA"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5.00</w:t>
            </w:r>
          </w:p>
        </w:tc>
      </w:tr>
      <w:tr w:rsidR="00E77255" w14:paraId="12AFDE62"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tcPr>
          <w:p w14:paraId="000000FB" w14:textId="77777777" w:rsidR="00E77255" w:rsidRDefault="00000000">
            <w:pPr>
              <w:spacing w:after="80"/>
              <w:jc w:val="both"/>
              <w:rPr>
                <w:color w:val="000000"/>
                <w:sz w:val="22"/>
                <w:szCs w:val="22"/>
              </w:rPr>
            </w:pPr>
            <w:r>
              <w:rPr>
                <w:color w:val="000000"/>
                <w:sz w:val="22"/>
                <w:szCs w:val="22"/>
              </w:rPr>
              <w:t>ASAP-0017298</w:t>
            </w:r>
          </w:p>
        </w:tc>
        <w:tc>
          <w:tcPr>
            <w:tcW w:w="830" w:type="dxa"/>
          </w:tcPr>
          <w:p w14:paraId="000000FC"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&gt; 50.0</w:t>
            </w:r>
          </w:p>
        </w:tc>
        <w:tc>
          <w:tcPr>
            <w:tcW w:w="779" w:type="dxa"/>
          </w:tcPr>
          <w:p w14:paraId="000000FD"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&gt; 5.00</w:t>
            </w:r>
          </w:p>
        </w:tc>
      </w:tr>
    </w:tbl>
    <w:p w14:paraId="000000FE" w14:textId="77777777" w:rsidR="00E77255" w:rsidRDefault="00000000">
      <w:pPr>
        <w:spacing w:after="80"/>
        <w:jc w:val="both"/>
        <w:rPr>
          <w:rFonts w:ascii="Arial" w:eastAsia="Arial" w:hAnsi="Arial" w:cs="Arial"/>
          <w:sz w:val="22"/>
          <w:szCs w:val="22"/>
        </w:rPr>
      </w:pPr>
      <w:r>
        <w:rPr>
          <w:rFonts w:ascii="Arial" w:eastAsia="Arial" w:hAnsi="Arial" w:cs="Arial"/>
          <w:sz w:val="22"/>
          <w:szCs w:val="22"/>
        </w:rPr>
        <w:t xml:space="preserve">Viral proteases are classical targets for antiviral drug development with a proven track record, most recently with Paxlovid for SARS-CoV-2. Therefore, ASAP is bringing our fragment-based approach to the 3CLpro of enterovirus. This program is just entering the cell-based assays of the Antiviral Core, with an initial 12 compounds screened against EV-D68 and EV-A71 and no activity below 50uM to date. We expect this program to increase throughput in the AER </w:t>
      </w:r>
      <w:proofErr w:type="gramStart"/>
      <w:r>
        <w:rPr>
          <w:rFonts w:ascii="Arial" w:eastAsia="Arial" w:hAnsi="Arial" w:cs="Arial"/>
          <w:sz w:val="22"/>
          <w:szCs w:val="22"/>
        </w:rPr>
        <w:t>in the near future</w:t>
      </w:r>
      <w:proofErr w:type="gramEnd"/>
      <w:r>
        <w:rPr>
          <w:rFonts w:ascii="Arial" w:eastAsia="Arial" w:hAnsi="Arial" w:cs="Arial"/>
          <w:sz w:val="22"/>
          <w:szCs w:val="22"/>
        </w:rPr>
        <w:t>.</w:t>
      </w:r>
    </w:p>
    <w:p w14:paraId="000000FF" w14:textId="77777777" w:rsidR="00E77255" w:rsidRDefault="00000000">
      <w:pPr>
        <w:spacing w:after="80"/>
        <w:jc w:val="both"/>
        <w:rPr>
          <w:rFonts w:ascii="Arial" w:eastAsia="Arial" w:hAnsi="Arial" w:cs="Arial"/>
          <w:b/>
          <w:sz w:val="22"/>
          <w:szCs w:val="22"/>
          <w:u w:val="single"/>
        </w:rPr>
      </w:pPr>
      <w:r>
        <w:rPr>
          <w:rFonts w:ascii="Arial" w:eastAsia="Arial" w:hAnsi="Arial" w:cs="Arial"/>
          <w:b/>
          <w:sz w:val="22"/>
          <w:szCs w:val="22"/>
          <w:u w:val="single"/>
        </w:rPr>
        <w:t>DENV/ZIKV NS2B/3 Protease Program</w:t>
      </w:r>
    </w:p>
    <w:p w14:paraId="00000100" w14:textId="77777777" w:rsidR="00E77255" w:rsidRDefault="00000000">
      <w:pPr>
        <w:spacing w:after="80"/>
        <w:jc w:val="both"/>
        <w:rPr>
          <w:rFonts w:ascii="Arial" w:eastAsia="Arial" w:hAnsi="Arial" w:cs="Arial"/>
          <w:sz w:val="22"/>
          <w:szCs w:val="22"/>
        </w:rPr>
      </w:pPr>
      <w:r>
        <w:rPr>
          <w:rFonts w:ascii="Arial" w:eastAsia="Arial" w:hAnsi="Arial" w:cs="Arial"/>
          <w:sz w:val="22"/>
          <w:szCs w:val="22"/>
        </w:rPr>
        <w:t>Another classical protease target that ASAP is pursuing with a fragment-to-lead campaign is the flavivirus NS2/B3 protease. The Antiviral Core has established live-virus cell-based for ZIKV (PRVABC59) and DENV-2 (16681). These assay uses an 8-point dose-response of ASAP compounds added to Vero-TMPRSS2 cells 2 hours prior to infection with ZIKV/DENV-2 under BSL2 conditions. 24 hours (ZIKV) or 6 days (DENV-2) later, the infected cells are fixed and stained with flavivirus E-specific monoclonal antibodies, and infected cells are quantified over total cells (DAPI) using our Cytation 1 plate cytometer. A cytotoxicity assay (MTT) is run in parallel in uninfected Vero-TMPRSS2 cells for all compounds. The assay was then standardized by generating EC</w:t>
      </w:r>
      <w:r>
        <w:rPr>
          <w:rFonts w:ascii="Arial" w:eastAsia="Arial" w:hAnsi="Arial" w:cs="Arial"/>
          <w:sz w:val="22"/>
          <w:szCs w:val="22"/>
          <w:vertAlign w:val="subscript"/>
        </w:rPr>
        <w:t>50</w:t>
      </w:r>
      <w:r>
        <w:rPr>
          <w:rFonts w:ascii="Arial" w:eastAsia="Arial" w:hAnsi="Arial" w:cs="Arial"/>
          <w:sz w:val="22"/>
          <w:szCs w:val="22"/>
        </w:rPr>
        <w:t>s for known flavivirus inhibitors and comparing with published results for consistent potency values. The AER core has worked with the laboratory of Johan Neyts at KU Leuven to provide the planned back-up CPE-based screening capacity for DENV-2 in Vero E6 cells to further confirm the accuracy of our results. The AER core has also engaged with NIH preclinical services (PCS, through the laboratory of Hong Wang at Utah State University) for another CPE based DENV-2 antiviral assay in Huh7 cells.</w:t>
      </w:r>
    </w:p>
    <w:p w14:paraId="00000101" w14:textId="77777777" w:rsidR="00E77255" w:rsidRDefault="00000000">
      <w:pPr>
        <w:spacing w:after="80"/>
        <w:ind w:firstLine="720"/>
        <w:jc w:val="both"/>
        <w:rPr>
          <w:rFonts w:ascii="Arial" w:eastAsia="Arial" w:hAnsi="Arial" w:cs="Arial"/>
          <w:sz w:val="22"/>
          <w:szCs w:val="22"/>
        </w:rPr>
      </w:pPr>
      <w:r>
        <w:rPr>
          <w:rFonts w:ascii="Arial" w:eastAsia="Arial" w:hAnsi="Arial" w:cs="Arial"/>
          <w:sz w:val="22"/>
          <w:szCs w:val="22"/>
        </w:rPr>
        <w:t xml:space="preserve">The flavivirus NS2/B3 protease program has just progressed from biochemical screening to cell-based assays and initial hits have been identified with single-digit micromolar EC50s against DENV-2 </w:t>
      </w:r>
      <w:r>
        <w:rPr>
          <w:rFonts w:ascii="Arial" w:eastAsia="Arial" w:hAnsi="Arial" w:cs="Arial"/>
          <w:b/>
          <w:sz w:val="22"/>
          <w:szCs w:val="22"/>
        </w:rPr>
        <w:t>(Table 4)</w:t>
      </w:r>
      <w:r>
        <w:rPr>
          <w:rFonts w:ascii="Arial" w:eastAsia="Arial" w:hAnsi="Arial" w:cs="Arial"/>
          <w:sz w:val="22"/>
          <w:szCs w:val="22"/>
        </w:rPr>
        <w:t xml:space="preserve">. The </w:t>
      </w:r>
      <w:proofErr w:type="spellStart"/>
      <w:r>
        <w:rPr>
          <w:rFonts w:ascii="Arial" w:eastAsia="Arial" w:hAnsi="Arial" w:cs="Arial"/>
          <w:sz w:val="22"/>
          <w:szCs w:val="22"/>
        </w:rPr>
        <w:t>mosnodenvir</w:t>
      </w:r>
      <w:proofErr w:type="spellEnd"/>
      <w:r>
        <w:rPr>
          <w:rFonts w:ascii="Arial" w:eastAsia="Arial" w:hAnsi="Arial" w:cs="Arial"/>
          <w:sz w:val="22"/>
          <w:szCs w:val="22"/>
        </w:rPr>
        <w:t xml:space="preserve"> (JNJ-1802) control had a &lt; 10 nM EC50, which is comparable to the literature reported EC50. There are some discrepancies between the initial NIH PCS and </w:t>
      </w:r>
      <w:proofErr w:type="spellStart"/>
      <w:r>
        <w:rPr>
          <w:rFonts w:ascii="Arial" w:eastAsia="Arial" w:hAnsi="Arial" w:cs="Arial"/>
          <w:sz w:val="22"/>
          <w:szCs w:val="22"/>
        </w:rPr>
        <w:t>and</w:t>
      </w:r>
      <w:proofErr w:type="spellEnd"/>
      <w:r>
        <w:rPr>
          <w:rFonts w:ascii="Arial" w:eastAsia="Arial" w:hAnsi="Arial" w:cs="Arial"/>
          <w:sz w:val="22"/>
          <w:szCs w:val="22"/>
        </w:rPr>
        <w:t xml:space="preserve"> KU Leuven data sets, repeats will be performed at both sites to bring the data in congruence. Furthermore, these compounds are now being screened in the Antiviral Core live-virus assays for DENV-2 and ZIKV, with the goal of broad-spectrum anti-flavivirus activity.</w:t>
      </w:r>
      <w:r>
        <w:rPr>
          <w:noProof/>
        </w:rPr>
        <mc:AlternateContent>
          <mc:Choice Requires="wpg">
            <w:drawing>
              <wp:anchor distT="0" distB="0" distL="114300" distR="114300" simplePos="0" relativeHeight="251665408" behindDoc="0" locked="0" layoutInCell="1" hidden="0" allowOverlap="1" wp14:anchorId="08257406" wp14:editId="1FE0C779">
                <wp:simplePos x="0" y="0"/>
                <wp:positionH relativeFrom="column">
                  <wp:posOffset>3721100</wp:posOffset>
                </wp:positionH>
                <wp:positionV relativeFrom="paragraph">
                  <wp:posOffset>1231900</wp:posOffset>
                </wp:positionV>
                <wp:extent cx="3134995" cy="575945"/>
                <wp:effectExtent l="0" t="0" r="0" b="0"/>
                <wp:wrapSquare wrapText="bothSides" distT="0" distB="0" distL="114300" distR="114300"/>
                <wp:docPr id="2055610278" name="Rectangle 2055610278"/>
                <wp:cNvGraphicFramePr/>
                <a:graphic xmlns:a="http://schemas.openxmlformats.org/drawingml/2006/main">
                  <a:graphicData uri="http://schemas.microsoft.com/office/word/2010/wordprocessingShape">
                    <wps:wsp>
                      <wps:cNvSpPr/>
                      <wps:spPr>
                        <a:xfrm>
                          <a:off x="3783265" y="3496790"/>
                          <a:ext cx="3125470" cy="566420"/>
                        </a:xfrm>
                        <a:prstGeom prst="rect">
                          <a:avLst/>
                        </a:prstGeom>
                        <a:noFill/>
                        <a:ln w="9525" cap="flat" cmpd="sng">
                          <a:solidFill>
                            <a:srgbClr val="000000"/>
                          </a:solidFill>
                          <a:prstDash val="solid"/>
                          <a:round/>
                          <a:headEnd type="none" w="sm" len="sm"/>
                          <a:tailEnd type="none" w="sm" len="sm"/>
                        </a:ln>
                      </wps:spPr>
                      <wps:txbx>
                        <w:txbxContent>
                          <w:p w14:paraId="74A2B05D" w14:textId="77777777" w:rsidR="00E77255" w:rsidRDefault="00000000">
                            <w:pPr>
                              <w:textDirection w:val="btLr"/>
                            </w:pPr>
                            <w:r>
                              <w:rPr>
                                <w:rFonts w:ascii="Arial" w:eastAsia="Arial" w:hAnsi="Arial" w:cs="Arial"/>
                                <w:b/>
                                <w:i/>
                                <w:color w:val="000000"/>
                                <w:sz w:val="16"/>
                              </w:rPr>
                              <w:t>Table 4. Top 10 hits from the ASAP flavivirus NS2/3B protease program in live-virus cell-based assays. EC</w:t>
                            </w:r>
                            <w:r>
                              <w:rPr>
                                <w:rFonts w:ascii="Arial" w:eastAsia="Arial" w:hAnsi="Arial" w:cs="Arial"/>
                                <w:b/>
                                <w:i/>
                                <w:color w:val="000000"/>
                                <w:sz w:val="16"/>
                                <w:vertAlign w:val="subscript"/>
                              </w:rPr>
                              <w:t>50</w:t>
                            </w:r>
                            <w:r>
                              <w:rPr>
                                <w:rFonts w:ascii="Arial" w:eastAsia="Arial" w:hAnsi="Arial" w:cs="Arial"/>
                                <w:b/>
                                <w:i/>
                                <w:color w:val="000000"/>
                                <w:sz w:val="16"/>
                              </w:rPr>
                              <w:t xml:space="preserve">s are reported as the geometric mean of a minimum of one independent experiment run in triplicate.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3721100</wp:posOffset>
                </wp:positionH>
                <wp:positionV relativeFrom="paragraph">
                  <wp:posOffset>1231900</wp:posOffset>
                </wp:positionV>
                <wp:extent cx="3134995" cy="575945"/>
                <wp:effectExtent b="0" l="0" r="0" t="0"/>
                <wp:wrapSquare wrapText="bothSides" distB="0" distT="0" distL="114300" distR="114300"/>
                <wp:docPr id="2055610278"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3134995" cy="575945"/>
                        </a:xfrm>
                        <a:prstGeom prst="rect"/>
                        <a:ln/>
                      </pic:spPr>
                    </pic:pic>
                  </a:graphicData>
                </a:graphic>
              </wp:anchor>
            </w:drawing>
          </mc:Fallback>
        </mc:AlternateContent>
      </w:r>
    </w:p>
    <w:tbl>
      <w:tblPr>
        <w:tblStyle w:val="a2"/>
        <w:tblpPr w:leftFromText="187" w:rightFromText="187" w:vertAnchor="text" w:tblpX="5856" w:tblpY="818"/>
        <w:tblW w:w="494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615"/>
        <w:gridCol w:w="830"/>
        <w:gridCol w:w="779"/>
        <w:gridCol w:w="941"/>
        <w:gridCol w:w="779"/>
      </w:tblGrid>
      <w:tr w:rsidR="00E77255" w14:paraId="2054D054" w14:textId="77777777" w:rsidTr="00E77255">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615" w:type="dxa"/>
            <w:tcBorders>
              <w:right w:val="single" w:sz="4" w:space="0" w:color="A5A5A5"/>
            </w:tcBorders>
            <w:shd w:val="clear" w:color="auto" w:fill="auto"/>
            <w:vAlign w:val="center"/>
          </w:tcPr>
          <w:p w14:paraId="00000102" w14:textId="77777777" w:rsidR="00E77255" w:rsidRDefault="00E77255">
            <w:pPr>
              <w:spacing w:after="80"/>
              <w:jc w:val="both"/>
              <w:rPr>
                <w:rFonts w:ascii="Arial" w:eastAsia="Arial" w:hAnsi="Arial" w:cs="Arial"/>
                <w:color w:val="000000"/>
                <w:sz w:val="22"/>
                <w:szCs w:val="22"/>
              </w:rPr>
            </w:pPr>
          </w:p>
        </w:tc>
        <w:tc>
          <w:tcPr>
            <w:tcW w:w="1609" w:type="dxa"/>
            <w:gridSpan w:val="2"/>
            <w:tcBorders>
              <w:top w:val="single" w:sz="4" w:space="0" w:color="A5A5A5"/>
              <w:left w:val="single" w:sz="4" w:space="0" w:color="A5A5A5"/>
              <w:bottom w:val="single" w:sz="4" w:space="0" w:color="A5A5A5"/>
              <w:right w:val="single" w:sz="4" w:space="0" w:color="A5A5A5"/>
            </w:tcBorders>
            <w:shd w:val="clear" w:color="auto" w:fill="auto"/>
            <w:vAlign w:val="center"/>
          </w:tcPr>
          <w:p w14:paraId="00000103" w14:textId="77777777" w:rsidR="00E77255" w:rsidRDefault="00000000">
            <w:pPr>
              <w:spacing w:after="8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color w:val="000000"/>
                <w:sz w:val="22"/>
                <w:szCs w:val="22"/>
              </w:rPr>
              <w:t>DENV-2 Huh7</w:t>
            </w:r>
          </w:p>
        </w:tc>
        <w:tc>
          <w:tcPr>
            <w:tcW w:w="1720" w:type="dxa"/>
            <w:gridSpan w:val="2"/>
            <w:tcBorders>
              <w:top w:val="single" w:sz="4" w:space="0" w:color="A5A5A5"/>
              <w:left w:val="single" w:sz="4" w:space="0" w:color="A5A5A5"/>
              <w:bottom w:val="single" w:sz="4" w:space="0" w:color="A5A5A5"/>
              <w:right w:val="single" w:sz="4" w:space="0" w:color="A5A5A5"/>
            </w:tcBorders>
            <w:shd w:val="clear" w:color="auto" w:fill="auto"/>
            <w:vAlign w:val="center"/>
          </w:tcPr>
          <w:p w14:paraId="00000105" w14:textId="77777777" w:rsidR="00E77255" w:rsidRDefault="00000000">
            <w:pPr>
              <w:spacing w:after="8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color w:val="000000"/>
                <w:sz w:val="22"/>
                <w:szCs w:val="22"/>
              </w:rPr>
              <w:t>DENV-2</w:t>
            </w:r>
          </w:p>
          <w:p w14:paraId="00000106" w14:textId="77777777" w:rsidR="00E77255" w:rsidRDefault="00000000">
            <w:pPr>
              <w:spacing w:after="8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color w:val="000000"/>
                <w:sz w:val="22"/>
                <w:szCs w:val="22"/>
              </w:rPr>
              <w:t>VeroE6</w:t>
            </w:r>
          </w:p>
        </w:tc>
      </w:tr>
      <w:tr w:rsidR="00E77255" w14:paraId="70C8F99C" w14:textId="77777777" w:rsidTr="00E77255">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vAlign w:val="center"/>
          </w:tcPr>
          <w:p w14:paraId="00000108" w14:textId="77777777" w:rsidR="00E77255" w:rsidRDefault="00000000">
            <w:pPr>
              <w:spacing w:after="80"/>
              <w:jc w:val="both"/>
              <w:rPr>
                <w:rFonts w:ascii="Arial" w:eastAsia="Arial" w:hAnsi="Arial" w:cs="Arial"/>
                <w:sz w:val="22"/>
                <w:szCs w:val="22"/>
              </w:rPr>
            </w:pPr>
            <w:r>
              <w:rPr>
                <w:rFonts w:ascii="Arial" w:eastAsia="Arial" w:hAnsi="Arial" w:cs="Arial"/>
                <w:sz w:val="22"/>
                <w:szCs w:val="22"/>
              </w:rPr>
              <w:t>Molecule Name</w:t>
            </w:r>
          </w:p>
        </w:tc>
        <w:tc>
          <w:tcPr>
            <w:tcW w:w="830" w:type="dxa"/>
            <w:tcBorders>
              <w:top w:val="single" w:sz="4" w:space="0" w:color="A5A5A5"/>
            </w:tcBorders>
            <w:shd w:val="clear" w:color="auto" w:fill="auto"/>
            <w:vAlign w:val="center"/>
          </w:tcPr>
          <w:p w14:paraId="00000109"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rFonts w:ascii="Arial" w:eastAsia="Arial" w:hAnsi="Arial" w:cs="Arial"/>
                <w:b/>
                <w:sz w:val="22"/>
                <w:szCs w:val="22"/>
              </w:rPr>
              <w:t>EC50 (µM)</w:t>
            </w:r>
          </w:p>
        </w:tc>
        <w:tc>
          <w:tcPr>
            <w:tcW w:w="779" w:type="dxa"/>
            <w:tcBorders>
              <w:top w:val="single" w:sz="4" w:space="0" w:color="A5A5A5"/>
            </w:tcBorders>
            <w:shd w:val="clear" w:color="auto" w:fill="auto"/>
            <w:vAlign w:val="center"/>
          </w:tcPr>
          <w:p w14:paraId="0000010A"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rFonts w:ascii="Arial" w:eastAsia="Arial" w:hAnsi="Arial" w:cs="Arial"/>
                <w:b/>
                <w:sz w:val="22"/>
                <w:szCs w:val="22"/>
              </w:rPr>
              <w:t>CC50 (µM)</w:t>
            </w:r>
          </w:p>
        </w:tc>
        <w:tc>
          <w:tcPr>
            <w:tcW w:w="941" w:type="dxa"/>
            <w:tcBorders>
              <w:top w:val="single" w:sz="4" w:space="0" w:color="A5A5A5"/>
            </w:tcBorders>
            <w:shd w:val="clear" w:color="auto" w:fill="auto"/>
            <w:vAlign w:val="center"/>
          </w:tcPr>
          <w:p w14:paraId="0000010B"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rFonts w:ascii="Arial" w:eastAsia="Arial" w:hAnsi="Arial" w:cs="Arial"/>
                <w:b/>
                <w:sz w:val="22"/>
                <w:szCs w:val="22"/>
              </w:rPr>
              <w:t>EC50 (µM)</w:t>
            </w:r>
          </w:p>
        </w:tc>
        <w:tc>
          <w:tcPr>
            <w:tcW w:w="779" w:type="dxa"/>
            <w:tcBorders>
              <w:top w:val="single" w:sz="4" w:space="0" w:color="A5A5A5"/>
            </w:tcBorders>
            <w:shd w:val="clear" w:color="auto" w:fill="auto"/>
            <w:vAlign w:val="center"/>
          </w:tcPr>
          <w:p w14:paraId="0000010C"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rFonts w:ascii="Arial" w:eastAsia="Arial" w:hAnsi="Arial" w:cs="Arial"/>
                <w:b/>
                <w:sz w:val="22"/>
                <w:szCs w:val="22"/>
              </w:rPr>
              <w:t>CC50 (µM)</w:t>
            </w:r>
          </w:p>
        </w:tc>
      </w:tr>
      <w:tr w:rsidR="00E77255" w14:paraId="691CC05E"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0000010D" w14:textId="77777777" w:rsidR="00E77255" w:rsidRDefault="00000000">
            <w:pPr>
              <w:spacing w:after="80"/>
              <w:jc w:val="both"/>
              <w:rPr>
                <w:color w:val="000000"/>
                <w:sz w:val="22"/>
                <w:szCs w:val="22"/>
              </w:rPr>
            </w:pPr>
            <w:proofErr w:type="spellStart"/>
            <w:r>
              <w:rPr>
                <w:color w:val="000000"/>
                <w:sz w:val="22"/>
                <w:szCs w:val="22"/>
              </w:rPr>
              <w:t>Mosnodenvir</w:t>
            </w:r>
            <w:proofErr w:type="spellEnd"/>
          </w:p>
        </w:tc>
        <w:tc>
          <w:tcPr>
            <w:tcW w:w="830" w:type="dxa"/>
            <w:vAlign w:val="center"/>
          </w:tcPr>
          <w:p w14:paraId="0000010E"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&lt; 0.01</w:t>
            </w:r>
          </w:p>
        </w:tc>
        <w:tc>
          <w:tcPr>
            <w:tcW w:w="779" w:type="dxa"/>
            <w:vAlign w:val="center"/>
          </w:tcPr>
          <w:p w14:paraId="0000010F"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5</w:t>
            </w:r>
          </w:p>
        </w:tc>
        <w:tc>
          <w:tcPr>
            <w:tcW w:w="941" w:type="dxa"/>
            <w:vAlign w:val="center"/>
          </w:tcPr>
          <w:p w14:paraId="00000110" w14:textId="77777777" w:rsidR="00E77255" w:rsidRDefault="00E77255">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p>
        </w:tc>
        <w:tc>
          <w:tcPr>
            <w:tcW w:w="779" w:type="dxa"/>
            <w:vAlign w:val="center"/>
          </w:tcPr>
          <w:p w14:paraId="00000111" w14:textId="77777777" w:rsidR="00E77255" w:rsidRDefault="00E77255">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p>
        </w:tc>
      </w:tr>
      <w:tr w:rsidR="00E77255" w14:paraId="0F0CC92B"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00000112" w14:textId="77777777" w:rsidR="00E77255" w:rsidRDefault="00000000">
            <w:pPr>
              <w:spacing w:after="80"/>
              <w:jc w:val="both"/>
              <w:rPr>
                <w:rFonts w:ascii="Arial" w:eastAsia="Arial" w:hAnsi="Arial" w:cs="Arial"/>
                <w:sz w:val="22"/>
                <w:szCs w:val="22"/>
              </w:rPr>
            </w:pPr>
            <w:r>
              <w:rPr>
                <w:color w:val="000000"/>
                <w:sz w:val="22"/>
                <w:szCs w:val="22"/>
              </w:rPr>
              <w:t>ASAP-0016305</w:t>
            </w:r>
          </w:p>
        </w:tc>
        <w:tc>
          <w:tcPr>
            <w:tcW w:w="830" w:type="dxa"/>
            <w:vAlign w:val="center"/>
          </w:tcPr>
          <w:p w14:paraId="00000113"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&lt; 0.01</w:t>
            </w:r>
          </w:p>
        </w:tc>
        <w:tc>
          <w:tcPr>
            <w:tcW w:w="779" w:type="dxa"/>
            <w:vAlign w:val="center"/>
          </w:tcPr>
          <w:p w14:paraId="00000114"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16</w:t>
            </w:r>
          </w:p>
        </w:tc>
        <w:tc>
          <w:tcPr>
            <w:tcW w:w="941" w:type="dxa"/>
            <w:vAlign w:val="center"/>
          </w:tcPr>
          <w:p w14:paraId="00000115"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2.54</w:t>
            </w:r>
          </w:p>
        </w:tc>
        <w:tc>
          <w:tcPr>
            <w:tcW w:w="779" w:type="dxa"/>
            <w:vAlign w:val="center"/>
          </w:tcPr>
          <w:p w14:paraId="00000116"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4.99</w:t>
            </w:r>
          </w:p>
        </w:tc>
      </w:tr>
      <w:tr w:rsidR="00E77255" w14:paraId="788E2320"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00000117" w14:textId="77777777" w:rsidR="00E77255" w:rsidRDefault="00000000">
            <w:pPr>
              <w:spacing w:after="80"/>
              <w:jc w:val="both"/>
              <w:rPr>
                <w:rFonts w:ascii="Arial" w:eastAsia="Arial" w:hAnsi="Arial" w:cs="Arial"/>
                <w:sz w:val="22"/>
                <w:szCs w:val="22"/>
              </w:rPr>
            </w:pPr>
            <w:r>
              <w:rPr>
                <w:color w:val="000000"/>
                <w:sz w:val="22"/>
                <w:szCs w:val="22"/>
              </w:rPr>
              <w:t>ASAP-0016436</w:t>
            </w:r>
          </w:p>
        </w:tc>
        <w:tc>
          <w:tcPr>
            <w:tcW w:w="830" w:type="dxa"/>
            <w:vAlign w:val="center"/>
          </w:tcPr>
          <w:p w14:paraId="00000118"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&lt; 0.01</w:t>
            </w:r>
          </w:p>
        </w:tc>
        <w:tc>
          <w:tcPr>
            <w:tcW w:w="779" w:type="dxa"/>
            <w:vAlign w:val="center"/>
          </w:tcPr>
          <w:p w14:paraId="00000119"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19</w:t>
            </w:r>
          </w:p>
        </w:tc>
        <w:tc>
          <w:tcPr>
            <w:tcW w:w="941" w:type="dxa"/>
            <w:vAlign w:val="center"/>
          </w:tcPr>
          <w:p w14:paraId="0000011A"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1.82</w:t>
            </w:r>
          </w:p>
        </w:tc>
        <w:tc>
          <w:tcPr>
            <w:tcW w:w="779" w:type="dxa"/>
            <w:vAlign w:val="center"/>
          </w:tcPr>
          <w:p w14:paraId="0000011B"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10.0</w:t>
            </w:r>
          </w:p>
        </w:tc>
      </w:tr>
      <w:tr w:rsidR="00E77255" w14:paraId="7FE67EC7"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0000011C" w14:textId="77777777" w:rsidR="00E77255" w:rsidRDefault="00000000">
            <w:pPr>
              <w:spacing w:after="80"/>
              <w:jc w:val="both"/>
              <w:rPr>
                <w:rFonts w:ascii="Arial" w:eastAsia="Arial" w:hAnsi="Arial" w:cs="Arial"/>
                <w:sz w:val="22"/>
                <w:szCs w:val="22"/>
              </w:rPr>
            </w:pPr>
            <w:r>
              <w:rPr>
                <w:color w:val="000000"/>
                <w:sz w:val="22"/>
                <w:szCs w:val="22"/>
              </w:rPr>
              <w:t>ASAP-0016843</w:t>
            </w:r>
          </w:p>
        </w:tc>
        <w:tc>
          <w:tcPr>
            <w:tcW w:w="830" w:type="dxa"/>
            <w:vAlign w:val="center"/>
          </w:tcPr>
          <w:p w14:paraId="0000011D"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1.90</w:t>
            </w:r>
          </w:p>
        </w:tc>
        <w:tc>
          <w:tcPr>
            <w:tcW w:w="779" w:type="dxa"/>
            <w:vAlign w:val="center"/>
          </w:tcPr>
          <w:p w14:paraId="0000011E"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1.9</w:t>
            </w:r>
          </w:p>
        </w:tc>
        <w:tc>
          <w:tcPr>
            <w:tcW w:w="941" w:type="dxa"/>
            <w:vAlign w:val="center"/>
          </w:tcPr>
          <w:p w14:paraId="0000011F"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2.75</w:t>
            </w:r>
          </w:p>
        </w:tc>
        <w:tc>
          <w:tcPr>
            <w:tcW w:w="779" w:type="dxa"/>
            <w:vAlign w:val="center"/>
          </w:tcPr>
          <w:p w14:paraId="00000120"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8.95</w:t>
            </w:r>
          </w:p>
        </w:tc>
      </w:tr>
      <w:tr w:rsidR="00E77255" w14:paraId="489A97BF"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00000121" w14:textId="77777777" w:rsidR="00E77255" w:rsidRDefault="00000000">
            <w:pPr>
              <w:spacing w:after="80"/>
              <w:jc w:val="both"/>
              <w:rPr>
                <w:rFonts w:ascii="Arial" w:eastAsia="Arial" w:hAnsi="Arial" w:cs="Arial"/>
                <w:sz w:val="22"/>
                <w:szCs w:val="22"/>
              </w:rPr>
            </w:pPr>
            <w:r>
              <w:rPr>
                <w:color w:val="000000"/>
                <w:sz w:val="22"/>
                <w:szCs w:val="22"/>
              </w:rPr>
              <w:t>ASAP-0013916</w:t>
            </w:r>
          </w:p>
        </w:tc>
        <w:tc>
          <w:tcPr>
            <w:tcW w:w="830" w:type="dxa"/>
            <w:vAlign w:val="center"/>
          </w:tcPr>
          <w:p w14:paraId="00000122"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1.90</w:t>
            </w:r>
          </w:p>
        </w:tc>
        <w:tc>
          <w:tcPr>
            <w:tcW w:w="779" w:type="dxa"/>
            <w:vAlign w:val="center"/>
          </w:tcPr>
          <w:p w14:paraId="00000123"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1.9</w:t>
            </w:r>
          </w:p>
        </w:tc>
        <w:tc>
          <w:tcPr>
            <w:tcW w:w="941" w:type="dxa"/>
            <w:vAlign w:val="center"/>
          </w:tcPr>
          <w:p w14:paraId="00000124"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0.677</w:t>
            </w:r>
          </w:p>
        </w:tc>
        <w:tc>
          <w:tcPr>
            <w:tcW w:w="779" w:type="dxa"/>
            <w:vAlign w:val="center"/>
          </w:tcPr>
          <w:p w14:paraId="00000125"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&lt; 0.08</w:t>
            </w:r>
          </w:p>
        </w:tc>
      </w:tr>
      <w:tr w:rsidR="00E77255" w14:paraId="6DBC532D"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00000126" w14:textId="77777777" w:rsidR="00E77255" w:rsidRDefault="00000000">
            <w:pPr>
              <w:spacing w:after="80"/>
              <w:jc w:val="both"/>
              <w:rPr>
                <w:rFonts w:ascii="Arial" w:eastAsia="Arial" w:hAnsi="Arial" w:cs="Arial"/>
                <w:sz w:val="22"/>
                <w:szCs w:val="22"/>
              </w:rPr>
            </w:pPr>
            <w:r>
              <w:rPr>
                <w:color w:val="000000"/>
                <w:sz w:val="22"/>
                <w:szCs w:val="22"/>
              </w:rPr>
              <w:lastRenderedPageBreak/>
              <w:t>ASAP-0016818</w:t>
            </w:r>
          </w:p>
        </w:tc>
        <w:tc>
          <w:tcPr>
            <w:tcW w:w="830" w:type="dxa"/>
            <w:vAlign w:val="center"/>
          </w:tcPr>
          <w:p w14:paraId="00000127"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3.10</w:t>
            </w:r>
          </w:p>
        </w:tc>
        <w:tc>
          <w:tcPr>
            <w:tcW w:w="779" w:type="dxa"/>
            <w:vAlign w:val="center"/>
          </w:tcPr>
          <w:p w14:paraId="00000128"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3.1</w:t>
            </w:r>
          </w:p>
        </w:tc>
        <w:tc>
          <w:tcPr>
            <w:tcW w:w="941" w:type="dxa"/>
            <w:vAlign w:val="center"/>
          </w:tcPr>
          <w:p w14:paraId="00000129"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8.64</w:t>
            </w:r>
          </w:p>
        </w:tc>
        <w:tc>
          <w:tcPr>
            <w:tcW w:w="779" w:type="dxa"/>
            <w:vAlign w:val="center"/>
          </w:tcPr>
          <w:p w14:paraId="0000012A"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6.62</w:t>
            </w:r>
          </w:p>
        </w:tc>
      </w:tr>
      <w:tr w:rsidR="00E77255" w14:paraId="6CCFC88D"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0000012B" w14:textId="77777777" w:rsidR="00E77255" w:rsidRDefault="00000000">
            <w:pPr>
              <w:spacing w:after="80"/>
              <w:jc w:val="both"/>
              <w:rPr>
                <w:rFonts w:ascii="Arial" w:eastAsia="Arial" w:hAnsi="Arial" w:cs="Arial"/>
                <w:sz w:val="22"/>
                <w:szCs w:val="22"/>
              </w:rPr>
            </w:pPr>
            <w:r>
              <w:rPr>
                <w:color w:val="000000"/>
                <w:sz w:val="22"/>
                <w:szCs w:val="22"/>
              </w:rPr>
              <w:t>ASAP-0015919</w:t>
            </w:r>
          </w:p>
        </w:tc>
        <w:tc>
          <w:tcPr>
            <w:tcW w:w="830" w:type="dxa"/>
            <w:vAlign w:val="center"/>
          </w:tcPr>
          <w:p w14:paraId="0000012C"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5.3</w:t>
            </w:r>
          </w:p>
        </w:tc>
        <w:tc>
          <w:tcPr>
            <w:tcW w:w="779" w:type="dxa"/>
            <w:vAlign w:val="center"/>
          </w:tcPr>
          <w:p w14:paraId="0000012D"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15</w:t>
            </w:r>
          </w:p>
        </w:tc>
        <w:tc>
          <w:tcPr>
            <w:tcW w:w="941" w:type="dxa"/>
            <w:vAlign w:val="center"/>
          </w:tcPr>
          <w:p w14:paraId="0000012E"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3.46</w:t>
            </w:r>
          </w:p>
        </w:tc>
        <w:tc>
          <w:tcPr>
            <w:tcW w:w="779" w:type="dxa"/>
            <w:vAlign w:val="center"/>
          </w:tcPr>
          <w:p w14:paraId="0000012F"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7.73</w:t>
            </w:r>
          </w:p>
        </w:tc>
      </w:tr>
      <w:tr w:rsidR="00E77255" w14:paraId="7A4DB5F1"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00000130" w14:textId="77777777" w:rsidR="00E77255" w:rsidRDefault="00000000">
            <w:pPr>
              <w:spacing w:after="80"/>
              <w:jc w:val="both"/>
              <w:rPr>
                <w:rFonts w:ascii="Arial" w:eastAsia="Arial" w:hAnsi="Arial" w:cs="Arial"/>
                <w:sz w:val="22"/>
                <w:szCs w:val="22"/>
              </w:rPr>
            </w:pPr>
            <w:r>
              <w:rPr>
                <w:color w:val="000000"/>
                <w:sz w:val="22"/>
                <w:szCs w:val="22"/>
              </w:rPr>
              <w:t>ASAP-0016815</w:t>
            </w:r>
          </w:p>
        </w:tc>
        <w:tc>
          <w:tcPr>
            <w:tcW w:w="830" w:type="dxa"/>
            <w:vAlign w:val="center"/>
          </w:tcPr>
          <w:p w14:paraId="00000131"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5.50</w:t>
            </w:r>
          </w:p>
        </w:tc>
        <w:tc>
          <w:tcPr>
            <w:tcW w:w="779" w:type="dxa"/>
            <w:vAlign w:val="center"/>
          </w:tcPr>
          <w:p w14:paraId="00000132"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5.5</w:t>
            </w:r>
          </w:p>
        </w:tc>
        <w:tc>
          <w:tcPr>
            <w:tcW w:w="941" w:type="dxa"/>
            <w:vAlign w:val="center"/>
          </w:tcPr>
          <w:p w14:paraId="00000133"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1.31</w:t>
            </w:r>
          </w:p>
        </w:tc>
        <w:tc>
          <w:tcPr>
            <w:tcW w:w="779" w:type="dxa"/>
            <w:vAlign w:val="center"/>
          </w:tcPr>
          <w:p w14:paraId="00000134"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4.32</w:t>
            </w:r>
          </w:p>
        </w:tc>
      </w:tr>
      <w:tr w:rsidR="00E77255" w14:paraId="1249CDF9" w14:textId="77777777" w:rsidTr="00E77255">
        <w:trPr>
          <w:trHeight w:val="297"/>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00000135" w14:textId="77777777" w:rsidR="00E77255" w:rsidRDefault="00000000">
            <w:pPr>
              <w:spacing w:after="80"/>
              <w:jc w:val="both"/>
              <w:rPr>
                <w:rFonts w:ascii="Arial" w:eastAsia="Arial" w:hAnsi="Arial" w:cs="Arial"/>
                <w:sz w:val="22"/>
                <w:szCs w:val="22"/>
              </w:rPr>
            </w:pPr>
            <w:r>
              <w:rPr>
                <w:color w:val="000000"/>
                <w:sz w:val="22"/>
                <w:szCs w:val="22"/>
              </w:rPr>
              <w:t>ASAP-0016554</w:t>
            </w:r>
          </w:p>
        </w:tc>
        <w:tc>
          <w:tcPr>
            <w:tcW w:w="830" w:type="dxa"/>
            <w:vAlign w:val="center"/>
          </w:tcPr>
          <w:p w14:paraId="00000136"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6.10</w:t>
            </w:r>
          </w:p>
        </w:tc>
        <w:tc>
          <w:tcPr>
            <w:tcW w:w="779" w:type="dxa"/>
            <w:vAlign w:val="center"/>
          </w:tcPr>
          <w:p w14:paraId="00000137"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6.1</w:t>
            </w:r>
          </w:p>
        </w:tc>
        <w:tc>
          <w:tcPr>
            <w:tcW w:w="941" w:type="dxa"/>
            <w:vAlign w:val="center"/>
          </w:tcPr>
          <w:p w14:paraId="00000138" w14:textId="77777777" w:rsidR="00E77255" w:rsidRDefault="00000000">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Pr>
                <w:color w:val="000000"/>
                <w:sz w:val="22"/>
                <w:szCs w:val="22"/>
              </w:rPr>
              <w:t>&gt; 10.0</w:t>
            </w:r>
          </w:p>
        </w:tc>
        <w:tc>
          <w:tcPr>
            <w:tcW w:w="779" w:type="dxa"/>
            <w:vAlign w:val="center"/>
          </w:tcPr>
          <w:p w14:paraId="00000139" w14:textId="77777777" w:rsidR="00E77255" w:rsidRDefault="00E77255">
            <w:pPr>
              <w:spacing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p>
        </w:tc>
      </w:tr>
      <w:tr w:rsidR="00E77255" w14:paraId="346F80D4" w14:textId="77777777" w:rsidTr="00E7725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0000013A" w14:textId="77777777" w:rsidR="00E77255" w:rsidRDefault="00000000">
            <w:pPr>
              <w:spacing w:after="80"/>
              <w:jc w:val="both"/>
              <w:rPr>
                <w:rFonts w:ascii="Arial" w:eastAsia="Arial" w:hAnsi="Arial" w:cs="Arial"/>
                <w:sz w:val="22"/>
                <w:szCs w:val="22"/>
              </w:rPr>
            </w:pPr>
            <w:r>
              <w:rPr>
                <w:color w:val="000000"/>
                <w:sz w:val="22"/>
                <w:szCs w:val="22"/>
              </w:rPr>
              <w:t>ASAP-0014782</w:t>
            </w:r>
          </w:p>
        </w:tc>
        <w:tc>
          <w:tcPr>
            <w:tcW w:w="830" w:type="dxa"/>
            <w:vAlign w:val="center"/>
          </w:tcPr>
          <w:p w14:paraId="0000013B"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6.2</w:t>
            </w:r>
          </w:p>
        </w:tc>
        <w:tc>
          <w:tcPr>
            <w:tcW w:w="779" w:type="dxa"/>
            <w:vAlign w:val="center"/>
          </w:tcPr>
          <w:p w14:paraId="0000013C"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32.0</w:t>
            </w:r>
          </w:p>
        </w:tc>
        <w:tc>
          <w:tcPr>
            <w:tcW w:w="941" w:type="dxa"/>
            <w:vAlign w:val="center"/>
          </w:tcPr>
          <w:p w14:paraId="0000013D"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10.0</w:t>
            </w:r>
          </w:p>
        </w:tc>
        <w:tc>
          <w:tcPr>
            <w:tcW w:w="779" w:type="dxa"/>
            <w:vAlign w:val="center"/>
          </w:tcPr>
          <w:p w14:paraId="0000013E" w14:textId="77777777" w:rsidR="00E77255" w:rsidRDefault="00000000">
            <w:pPr>
              <w:spacing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color w:val="000000"/>
                <w:sz w:val="22"/>
                <w:szCs w:val="22"/>
              </w:rPr>
              <w:t>&gt; 10.0</w:t>
            </w:r>
          </w:p>
        </w:tc>
      </w:tr>
    </w:tbl>
    <w:p w14:paraId="0000013F" w14:textId="77777777" w:rsidR="00E77255" w:rsidRDefault="00000000">
      <w:pPr>
        <w:spacing w:after="80"/>
        <w:jc w:val="both"/>
        <w:rPr>
          <w:rFonts w:ascii="Arial" w:eastAsia="Arial" w:hAnsi="Arial" w:cs="Arial"/>
          <w:sz w:val="22"/>
          <w:szCs w:val="22"/>
        </w:rPr>
      </w:pPr>
      <w:r>
        <w:rPr>
          <w:rFonts w:ascii="Arial" w:eastAsia="Arial" w:hAnsi="Arial" w:cs="Arial"/>
          <w:b/>
          <w:sz w:val="22"/>
          <w:szCs w:val="22"/>
          <w:u w:val="single"/>
        </w:rPr>
        <w:t>Primary Cell Model Development</w:t>
      </w:r>
    </w:p>
    <w:p w14:paraId="00000140" w14:textId="77777777" w:rsidR="00E77255" w:rsidRDefault="00000000">
      <w:pPr>
        <w:spacing w:after="80"/>
        <w:jc w:val="both"/>
        <w:rPr>
          <w:rFonts w:ascii="Arial" w:eastAsia="Arial" w:hAnsi="Arial" w:cs="Arial"/>
          <w:sz w:val="22"/>
          <w:szCs w:val="22"/>
        </w:rPr>
      </w:pPr>
      <w:r>
        <w:rPr>
          <w:rFonts w:ascii="Arial" w:eastAsia="Arial" w:hAnsi="Arial" w:cs="Arial"/>
          <w:sz w:val="22"/>
          <w:szCs w:val="22"/>
        </w:rPr>
        <w:t xml:space="preserve">The Antiviral Core has also been tasked with the development of high-throughput primary cell models to meet the needs of all ASAP programs. The Antiviral Core now has coronavirus, enterovirus, and flavivirus programs entering our live-virus antiviral assays, and primary cell models will be needed for comprehensive potency analysis of each program as leads approach proof-of-concept animal studies. Furthermore, the Antiviral Core hosts an AViDD Developmental Project Award (led by Thomas Zwaka from Mt Sinai) to develop multiple primary-like iPSC models, representing the many important cell types infected by these target viral families, in 96-well format for medium-throughput antiviral screening (See the Zwaka Developmental Award Report for more details on the generation of these models). The Zwaka laboratory regularly produces iPSC-derived pneumocytes for SARS-CoV-2 antiviral screening in the AER core, which has been well-established over years of collaboration. Over the first year of the developmental award, the Zwaka laboratory has produce iPSC-derived hepatocytes, macrophages, and neurons in 96-well format for the establishment of IF-based antiviral assays. The Antiviral Core has established IF-based assays for coronavirus </w:t>
      </w:r>
      <w:r>
        <w:rPr>
          <w:rFonts w:ascii="Arial" w:eastAsia="Arial" w:hAnsi="Arial" w:cs="Arial"/>
          <w:b/>
          <w:sz w:val="22"/>
          <w:szCs w:val="22"/>
        </w:rPr>
        <w:t>(Fig. 3A)</w:t>
      </w:r>
      <w:r>
        <w:rPr>
          <w:rFonts w:ascii="Arial" w:eastAsia="Arial" w:hAnsi="Arial" w:cs="Arial"/>
          <w:sz w:val="22"/>
          <w:szCs w:val="22"/>
        </w:rPr>
        <w:t xml:space="preserve"> and enterovirus </w:t>
      </w:r>
      <w:r>
        <w:rPr>
          <w:rFonts w:ascii="Arial" w:eastAsia="Arial" w:hAnsi="Arial" w:cs="Arial"/>
          <w:b/>
          <w:color w:val="000000"/>
          <w:sz w:val="22"/>
          <w:szCs w:val="22"/>
        </w:rPr>
        <w:t>(Fig. 3B)</w:t>
      </w:r>
      <w:r>
        <w:rPr>
          <w:rFonts w:ascii="Arial" w:eastAsia="Arial" w:hAnsi="Arial" w:cs="Arial"/>
          <w:color w:val="000000"/>
          <w:sz w:val="22"/>
          <w:szCs w:val="22"/>
        </w:rPr>
        <w:t xml:space="preserve"> </w:t>
      </w:r>
      <w:r>
        <w:rPr>
          <w:rFonts w:ascii="Arial" w:eastAsia="Arial" w:hAnsi="Arial" w:cs="Arial"/>
          <w:sz w:val="22"/>
          <w:szCs w:val="22"/>
        </w:rPr>
        <w:t xml:space="preserve">in these 3 iPSC cell types. We generally detected infection of hepatocytes and macrophages ranging from 9-24% infection, which are appropriate for robust medium-throughput assays. EV-D68 was able to infect the iPSC-derived neurons at up to 4%, which is on the borderline of robustness for an effective medium-throughput antiviral assay. SARS-CoV-2 did not show detectable infection of the neurons, which is in line with the 0.1% infection observed in the literature. We are now expanding these observations to flaviviruses to ensure we have assays prepared for all ASAP programs. The Antiviral Core has also established EV-D68 infection of iPSC-derived pneumocytes and validated our rupintrivir control in this assay </w:t>
      </w:r>
      <w:r>
        <w:rPr>
          <w:rFonts w:ascii="Arial" w:eastAsia="Arial" w:hAnsi="Arial" w:cs="Arial"/>
          <w:b/>
          <w:sz w:val="22"/>
          <w:szCs w:val="22"/>
        </w:rPr>
        <w:t>(Fig. 3C)</w:t>
      </w:r>
      <w:r>
        <w:rPr>
          <w:rFonts w:ascii="Arial" w:eastAsia="Arial" w:hAnsi="Arial" w:cs="Arial"/>
          <w:sz w:val="22"/>
          <w:szCs w:val="22"/>
        </w:rPr>
        <w:t>.</w:t>
      </w:r>
      <w:r>
        <w:rPr>
          <w:noProof/>
        </w:rPr>
        <w:drawing>
          <wp:anchor distT="0" distB="0" distL="114300" distR="114300" simplePos="0" relativeHeight="251666432" behindDoc="0" locked="0" layoutInCell="1" hidden="0" allowOverlap="1" wp14:anchorId="0D5136C4" wp14:editId="7FAEAD74">
            <wp:simplePos x="0" y="0"/>
            <wp:positionH relativeFrom="column">
              <wp:posOffset>2854960</wp:posOffset>
            </wp:positionH>
            <wp:positionV relativeFrom="paragraph">
              <wp:posOffset>0</wp:posOffset>
            </wp:positionV>
            <wp:extent cx="3917950" cy="2228850"/>
            <wp:effectExtent l="0" t="0" r="0" b="0"/>
            <wp:wrapSquare wrapText="bothSides" distT="0" distB="0" distL="114300" distR="114300"/>
            <wp:docPr id="2055610284" name="image2.png" descr="A collage of graphs and char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ollage of graphs and charts&#10;&#10;Description automatically generated"/>
                    <pic:cNvPicPr preferRelativeResize="0"/>
                  </pic:nvPicPr>
                  <pic:blipFill>
                    <a:blip r:embed="rId19"/>
                    <a:srcRect l="523"/>
                    <a:stretch>
                      <a:fillRect/>
                    </a:stretch>
                  </pic:blipFill>
                  <pic:spPr>
                    <a:xfrm>
                      <a:off x="0" y="0"/>
                      <a:ext cx="3917950" cy="2228850"/>
                    </a:xfrm>
                    <a:prstGeom prst="rect">
                      <a:avLst/>
                    </a:prstGeom>
                    <a:ln/>
                  </pic:spPr>
                </pic:pic>
              </a:graphicData>
            </a:graphic>
          </wp:anchor>
        </w:drawing>
      </w:r>
      <w:r>
        <w:rPr>
          <w:noProof/>
        </w:rPr>
        <mc:AlternateContent>
          <mc:Choice Requires="wps">
            <w:drawing>
              <wp:anchor distT="0" distB="0" distL="114300" distR="114300" simplePos="0" relativeHeight="251667456" behindDoc="0" locked="0" layoutInCell="1" hidden="0" allowOverlap="1" wp14:anchorId="6B413A71" wp14:editId="406BF245">
                <wp:simplePos x="0" y="0"/>
                <wp:positionH relativeFrom="column">
                  <wp:posOffset>2844800</wp:posOffset>
                </wp:positionH>
                <wp:positionV relativeFrom="paragraph">
                  <wp:posOffset>2209800</wp:posOffset>
                </wp:positionV>
                <wp:extent cx="635" cy="12700"/>
                <wp:effectExtent l="0" t="0" r="0" b="0"/>
                <wp:wrapSquare wrapText="bothSides" distT="0" distB="0" distL="114300" distR="114300"/>
                <wp:docPr id="2055610282" name="Rectangle 2055610282"/>
                <wp:cNvGraphicFramePr/>
                <a:graphic xmlns:a="http://schemas.openxmlformats.org/drawingml/2006/main">
                  <a:graphicData uri="http://schemas.microsoft.com/office/word/2010/wordprocessingShape">
                    <wps:wsp>
                      <wps:cNvSpPr/>
                      <wps:spPr>
                        <a:xfrm>
                          <a:off x="3359085" y="3779683"/>
                          <a:ext cx="3973830" cy="635"/>
                        </a:xfrm>
                        <a:prstGeom prst="rect">
                          <a:avLst/>
                        </a:prstGeom>
                        <a:solidFill>
                          <a:srgbClr val="FFFFFF"/>
                        </a:solidFill>
                        <a:ln>
                          <a:noFill/>
                        </a:ln>
                      </wps:spPr>
                      <wps:txbx>
                        <w:txbxContent>
                          <w:p w14:paraId="4E72AED0" w14:textId="77777777" w:rsidR="00E77255" w:rsidRDefault="00000000">
                            <w:pPr>
                              <w:spacing w:before="120" w:after="120"/>
                              <w:textDirection w:val="btLr"/>
                            </w:pPr>
                            <w:proofErr w:type="gramStart"/>
                            <w:r>
                              <w:rPr>
                                <w:rFonts w:ascii="Arial" w:eastAsia="Arial" w:hAnsi="Arial" w:cs="Arial"/>
                                <w:b/>
                                <w:color w:val="000000"/>
                                <w:sz w:val="16"/>
                              </w:rPr>
                              <w:t>Figure  SEQ</w:t>
                            </w:r>
                            <w:proofErr w:type="gramEnd"/>
                            <w:r>
                              <w:rPr>
                                <w:rFonts w:ascii="Arial" w:eastAsia="Arial" w:hAnsi="Arial" w:cs="Arial"/>
                                <w:b/>
                                <w:color w:val="000000"/>
                                <w:sz w:val="16"/>
                              </w:rPr>
                              <w:t xml:space="preserve"> Figure \* ARABIC 3. Viral infection (red) of multiple iPSC-derived cell types and cell death tracked by DAPI (blue) in IF-based plate cytometry. (A) SARS-CoV-2 infection, (B and C) EV-D68 infection.</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2844800</wp:posOffset>
                </wp:positionH>
                <wp:positionV relativeFrom="paragraph">
                  <wp:posOffset>2209800</wp:posOffset>
                </wp:positionV>
                <wp:extent cx="635" cy="12700"/>
                <wp:effectExtent b="0" l="0" r="0" t="0"/>
                <wp:wrapSquare wrapText="bothSides" distB="0" distT="0" distL="114300" distR="114300"/>
                <wp:docPr id="2055610282"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635" cy="12700"/>
                        </a:xfrm>
                        <a:prstGeom prst="rect"/>
                        <a:ln/>
                      </pic:spPr>
                    </pic:pic>
                  </a:graphicData>
                </a:graphic>
              </wp:anchor>
            </w:drawing>
          </mc:Fallback>
        </mc:AlternateContent>
      </w:r>
    </w:p>
    <w:p w14:paraId="00000141" w14:textId="77777777" w:rsidR="00E77255" w:rsidRDefault="00000000">
      <w:pPr>
        <w:spacing w:after="80"/>
        <w:jc w:val="both"/>
        <w:rPr>
          <w:rFonts w:ascii="Arial" w:eastAsia="Arial" w:hAnsi="Arial" w:cs="Arial"/>
          <w:b/>
          <w:sz w:val="22"/>
          <w:szCs w:val="22"/>
          <w:u w:val="single"/>
        </w:rPr>
      </w:pPr>
      <w:r>
        <w:rPr>
          <w:rFonts w:ascii="Arial" w:eastAsia="Arial" w:hAnsi="Arial" w:cs="Arial"/>
          <w:b/>
          <w:sz w:val="22"/>
          <w:szCs w:val="22"/>
          <w:u w:val="single"/>
        </w:rPr>
        <w:t>Animal Model Development</w:t>
      </w:r>
    </w:p>
    <w:p w14:paraId="00000142" w14:textId="4B7F01CD" w:rsidR="00E77255" w:rsidRDefault="00000000">
      <w:pPr>
        <w:spacing w:after="80"/>
        <w:jc w:val="both"/>
        <w:rPr>
          <w:rFonts w:ascii="Arial" w:eastAsia="Arial" w:hAnsi="Arial" w:cs="Arial"/>
          <w:b/>
          <w:i/>
          <w:sz w:val="22"/>
          <w:szCs w:val="22"/>
        </w:rPr>
      </w:pPr>
      <w:bookmarkStart w:id="6" w:name="_heading=h.yiph8is3a2yn" w:colFirst="0" w:colLast="0"/>
      <w:bookmarkEnd w:id="6"/>
      <w:r>
        <w:rPr>
          <w:rFonts w:ascii="Arial" w:eastAsia="Arial" w:hAnsi="Arial" w:cs="Arial"/>
          <w:sz w:val="22"/>
          <w:szCs w:val="22"/>
        </w:rPr>
        <w:t xml:space="preserve">The Antiviral Core is also tasked with providing animal efficacy models for all programs pursued by the ASAP consortium. The first ASAP program that is approaching proof-of-concept </w:t>
      </w:r>
      <w:r>
        <w:rPr>
          <w:rFonts w:ascii="Arial" w:eastAsia="Arial" w:hAnsi="Arial" w:cs="Arial"/>
          <w:i/>
          <w:sz w:val="22"/>
          <w:szCs w:val="22"/>
        </w:rPr>
        <w:t xml:space="preserve">in vivo </w:t>
      </w:r>
      <w:r>
        <w:rPr>
          <w:rFonts w:ascii="Arial" w:eastAsia="Arial" w:hAnsi="Arial" w:cs="Arial"/>
          <w:sz w:val="22"/>
          <w:szCs w:val="22"/>
        </w:rPr>
        <w:t>animal efficacy studies is the MERS-CoV/SARS-CoV-2 Mpro program. The consortium has developed compounds with EC50s under 20 nM against both viruses (</w:t>
      </w:r>
      <w:r>
        <w:rPr>
          <w:rFonts w:ascii="Arial" w:eastAsia="Arial" w:hAnsi="Arial" w:cs="Arial"/>
          <w:b/>
          <w:sz w:val="22"/>
          <w:szCs w:val="22"/>
        </w:rPr>
        <w:t>Table 1</w:t>
      </w:r>
      <w:r>
        <w:rPr>
          <w:rFonts w:ascii="Arial" w:eastAsia="Arial" w:hAnsi="Arial" w:cs="Arial"/>
          <w:sz w:val="22"/>
          <w:szCs w:val="22"/>
        </w:rPr>
        <w:t xml:space="preserve">) and excellent ADMET profiles (see </w:t>
      </w:r>
      <w:r>
        <w:rPr>
          <w:rFonts w:ascii="Arial" w:eastAsia="Arial" w:hAnsi="Arial" w:cs="Arial"/>
          <w:b/>
          <w:sz w:val="22"/>
          <w:szCs w:val="22"/>
        </w:rPr>
        <w:t>Project 5 Report</w:t>
      </w:r>
      <w:r>
        <w:rPr>
          <w:rFonts w:ascii="Arial" w:eastAsia="Arial" w:hAnsi="Arial" w:cs="Arial"/>
          <w:sz w:val="22"/>
          <w:szCs w:val="22"/>
        </w:rPr>
        <w:t xml:space="preserve">). These latest lead compounds are highly stable in both mouse and human (8HUM mouse). As the previous warm-start lead compound from this series from the COVID Moonshot had better human PK (8HUM mouse) than wild type mouse PK, we have prepared the 8HUM mouse model for the MERS-CoV efficacy study of ASAP-0016506. The 8HUM model has a humanized cytochrome P450 systems that accurately mimics human PK of well-established FDA-approved drugs. We have recently deployed this 8HUM model to establish proof-of-concept in vivo efficacy of the COVID Moonshot lead Mpro inhibitor against SARS-CoV-2 </w:t>
      </w:r>
      <w:r>
        <w:rPr>
          <w:rFonts w:ascii="Arial" w:eastAsia="Arial" w:hAnsi="Arial" w:cs="Arial"/>
          <w:b/>
          <w:sz w:val="22"/>
          <w:szCs w:val="22"/>
        </w:rPr>
        <w:t>(Fig. 4</w:t>
      </w:r>
      <w:r>
        <w:rPr>
          <w:rFonts w:ascii="Arial" w:eastAsia="Arial" w:hAnsi="Arial" w:cs="Arial"/>
          <w:sz w:val="22"/>
          <w:szCs w:val="22"/>
        </w:rPr>
        <w:t xml:space="preserve">), yielding a 2-log reduction of SARS-CoV-2 lung titers. We are now analyzing our preliminary infection data of 8HUM mice transduced with and adenovirus vector expressing the viral receptor human DPP4. This adenovirus expression system should allow for infection of most mouse models, including the 8HUM mouse. The MERS-CoV infection should be limited to the lung in this model, which is the only site that should express the hDPP4. Therefore, this model should not show outward viral pathogenesis and we will rely on viral lung titers and lung histopathology scoring as our major </w:t>
      </w:r>
      <w:r>
        <w:rPr>
          <w:rFonts w:ascii="Arial" w:eastAsia="Arial" w:hAnsi="Arial" w:cs="Arial"/>
          <w:sz w:val="22"/>
          <w:szCs w:val="22"/>
        </w:rPr>
        <w:lastRenderedPageBreak/>
        <w:t xml:space="preserve">readouts of efficacy. The MERS-CoV proof-of-concept efficacy model for ASAP-16506 at multiple dosage levels (PO BID) is currently </w:t>
      </w:r>
      <w:r w:rsidR="003F49E2">
        <w:rPr>
          <w:rFonts w:ascii="Arial" w:eastAsia="Arial" w:hAnsi="Arial" w:cs="Arial"/>
          <w:sz w:val="22"/>
          <w:szCs w:val="22"/>
        </w:rPr>
        <w:t>underway</w:t>
      </w:r>
      <w:r>
        <w:rPr>
          <w:rFonts w:ascii="Arial" w:eastAsia="Arial" w:hAnsi="Arial" w:cs="Arial"/>
          <w:sz w:val="22"/>
          <w:szCs w:val="22"/>
        </w:rPr>
        <w:t xml:space="preserve"> </w:t>
      </w:r>
      <w:r w:rsidR="003F49E2">
        <w:rPr>
          <w:rFonts w:ascii="Arial" w:eastAsia="Arial" w:hAnsi="Arial" w:cs="Arial"/>
          <w:sz w:val="22"/>
          <w:szCs w:val="22"/>
        </w:rPr>
        <w:t>in</w:t>
      </w:r>
      <w:r>
        <w:rPr>
          <w:rFonts w:ascii="Arial" w:eastAsia="Arial" w:hAnsi="Arial" w:cs="Arial"/>
          <w:sz w:val="22"/>
          <w:szCs w:val="22"/>
        </w:rPr>
        <w:t xml:space="preserve"> April 2024 (</w:t>
      </w:r>
      <w:r w:rsidR="003F49E2">
        <w:rPr>
          <w:rFonts w:ascii="Arial" w:eastAsia="Arial" w:hAnsi="Arial" w:cs="Arial"/>
          <w:sz w:val="22"/>
          <w:szCs w:val="22"/>
        </w:rPr>
        <w:t>data</w:t>
      </w:r>
      <w:r>
        <w:rPr>
          <w:rFonts w:ascii="Arial" w:eastAsia="Arial" w:hAnsi="Arial" w:cs="Arial"/>
          <w:sz w:val="22"/>
          <w:szCs w:val="22"/>
        </w:rPr>
        <w:t xml:space="preserve"> follows the </w:t>
      </w:r>
      <w:r w:rsidR="003F49E2">
        <w:rPr>
          <w:rFonts w:ascii="Arial" w:eastAsia="Arial" w:hAnsi="Arial" w:cs="Arial"/>
          <w:sz w:val="22"/>
          <w:szCs w:val="22"/>
        </w:rPr>
        <w:t>drafting</w:t>
      </w:r>
      <w:r>
        <w:rPr>
          <w:rFonts w:ascii="Arial" w:eastAsia="Arial" w:hAnsi="Arial" w:cs="Arial"/>
          <w:sz w:val="22"/>
          <w:szCs w:val="22"/>
        </w:rPr>
        <w:t xml:space="preserve"> of this report).</w:t>
      </w:r>
      <w:r>
        <w:rPr>
          <w:noProof/>
        </w:rPr>
        <w:drawing>
          <wp:anchor distT="0" distB="0" distL="114300" distR="114300" simplePos="0" relativeHeight="251668480" behindDoc="0" locked="0" layoutInCell="1" hidden="0" allowOverlap="1" wp14:anchorId="083A063B" wp14:editId="350DABA6">
            <wp:simplePos x="0" y="0"/>
            <wp:positionH relativeFrom="column">
              <wp:posOffset>2524760</wp:posOffset>
            </wp:positionH>
            <wp:positionV relativeFrom="paragraph">
              <wp:posOffset>1607820</wp:posOffset>
            </wp:positionV>
            <wp:extent cx="4336415" cy="2405380"/>
            <wp:effectExtent l="0" t="0" r="0" b="0"/>
            <wp:wrapSquare wrapText="bothSides" distT="0" distB="0" distL="114300" distR="114300"/>
            <wp:docPr id="2055610285" name="image4.png" descr="A diagram of a viru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virus&#10;&#10;Description automatically generated"/>
                    <pic:cNvPicPr preferRelativeResize="0"/>
                  </pic:nvPicPr>
                  <pic:blipFill>
                    <a:blip r:embed="rId21"/>
                    <a:srcRect/>
                    <a:stretch>
                      <a:fillRect/>
                    </a:stretch>
                  </pic:blipFill>
                  <pic:spPr>
                    <a:xfrm>
                      <a:off x="0" y="0"/>
                      <a:ext cx="4336415" cy="2405380"/>
                    </a:xfrm>
                    <a:prstGeom prst="rect">
                      <a:avLst/>
                    </a:prstGeom>
                    <a:ln/>
                  </pic:spPr>
                </pic:pic>
              </a:graphicData>
            </a:graphic>
          </wp:anchor>
        </w:drawing>
      </w:r>
      <w:r>
        <w:rPr>
          <w:noProof/>
        </w:rPr>
        <mc:AlternateContent>
          <mc:Choice Requires="wps">
            <w:drawing>
              <wp:anchor distT="0" distB="0" distL="114300" distR="114300" simplePos="0" relativeHeight="251669504" behindDoc="0" locked="0" layoutInCell="1" hidden="0" allowOverlap="1" wp14:anchorId="687ECB34" wp14:editId="63468A2B">
                <wp:simplePos x="0" y="0"/>
                <wp:positionH relativeFrom="column">
                  <wp:posOffset>2425700</wp:posOffset>
                </wp:positionH>
                <wp:positionV relativeFrom="paragraph">
                  <wp:posOffset>4064000</wp:posOffset>
                </wp:positionV>
                <wp:extent cx="635" cy="12700"/>
                <wp:effectExtent l="0" t="0" r="0" b="0"/>
                <wp:wrapSquare wrapText="bothSides" distT="0" distB="0" distL="114300" distR="114300"/>
                <wp:docPr id="2055610280" name="Rectangle 2055610280"/>
                <wp:cNvGraphicFramePr/>
                <a:graphic xmlns:a="http://schemas.openxmlformats.org/drawingml/2006/main">
                  <a:graphicData uri="http://schemas.microsoft.com/office/word/2010/wordprocessingShape">
                    <wps:wsp>
                      <wps:cNvSpPr/>
                      <wps:spPr>
                        <a:xfrm>
                          <a:off x="3079368" y="3779683"/>
                          <a:ext cx="4533265" cy="635"/>
                        </a:xfrm>
                        <a:prstGeom prst="rect">
                          <a:avLst/>
                        </a:prstGeom>
                        <a:solidFill>
                          <a:srgbClr val="FFFFFF"/>
                        </a:solidFill>
                        <a:ln>
                          <a:noFill/>
                        </a:ln>
                      </wps:spPr>
                      <wps:txbx>
                        <w:txbxContent>
                          <w:p w14:paraId="3C9A739E" w14:textId="77777777" w:rsidR="00E77255" w:rsidRDefault="00000000">
                            <w:pPr>
                              <w:spacing w:before="120" w:after="120"/>
                              <w:textDirection w:val="btLr"/>
                            </w:pPr>
                            <w:proofErr w:type="gramStart"/>
                            <w:r>
                              <w:rPr>
                                <w:rFonts w:ascii="Arial" w:eastAsia="Arial" w:hAnsi="Arial" w:cs="Arial"/>
                                <w:b/>
                                <w:color w:val="000000"/>
                                <w:sz w:val="16"/>
                              </w:rPr>
                              <w:t>Figure  SEQ</w:t>
                            </w:r>
                            <w:proofErr w:type="gramEnd"/>
                            <w:r>
                              <w:rPr>
                                <w:rFonts w:ascii="Arial" w:eastAsia="Arial" w:hAnsi="Arial" w:cs="Arial"/>
                                <w:b/>
                                <w:color w:val="000000"/>
                                <w:sz w:val="16"/>
                              </w:rPr>
                              <w:t xml:space="preserve"> Figure \* ARABIC 4. MA-SARS-CoV-2 animal efficacy study of the ASAP Mpro inhibitor scaffold precursor compound in the 8HUM mouse model. (A) Schematic of the infection and dosing schedule. (B) Dosages used and trough PK concentrations taken from uninfected mice directly before the morning dose. (C) MA-SARS-CoV-2 lung titers in compound treated mice show up to a 2-log reduction.</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2425700</wp:posOffset>
                </wp:positionH>
                <wp:positionV relativeFrom="paragraph">
                  <wp:posOffset>4064000</wp:posOffset>
                </wp:positionV>
                <wp:extent cx="635" cy="12700"/>
                <wp:effectExtent b="0" l="0" r="0" t="0"/>
                <wp:wrapSquare wrapText="bothSides" distB="0" distT="0" distL="114300" distR="114300"/>
                <wp:docPr id="2055610280"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635" cy="12700"/>
                        </a:xfrm>
                        <a:prstGeom prst="rect"/>
                        <a:ln/>
                      </pic:spPr>
                    </pic:pic>
                  </a:graphicData>
                </a:graphic>
              </wp:anchor>
            </w:drawing>
          </mc:Fallback>
        </mc:AlternateContent>
      </w:r>
    </w:p>
    <w:p w14:paraId="00000143" w14:textId="77777777" w:rsidR="00E77255" w:rsidRDefault="00E77255">
      <w:pPr>
        <w:rPr>
          <w:rFonts w:ascii="Arial" w:eastAsia="Arial" w:hAnsi="Arial" w:cs="Arial"/>
          <w:b/>
          <w:i/>
          <w:sz w:val="22"/>
          <w:szCs w:val="22"/>
        </w:rPr>
      </w:pPr>
    </w:p>
    <w:p w14:paraId="00000144" w14:textId="77777777" w:rsidR="00E77255" w:rsidRDefault="00E77255">
      <w:pPr>
        <w:rPr>
          <w:rFonts w:ascii="Arial" w:eastAsia="Arial" w:hAnsi="Arial" w:cs="Arial"/>
          <w:b/>
          <w:sz w:val="22"/>
          <w:szCs w:val="22"/>
        </w:rPr>
      </w:pPr>
    </w:p>
    <w:p w14:paraId="00000149" w14:textId="53830331" w:rsidR="00E77255" w:rsidRPr="005769B9" w:rsidRDefault="00000000">
      <w:pPr>
        <w:rPr>
          <w:rFonts w:ascii="Arial" w:eastAsia="Arial" w:hAnsi="Arial" w:cs="Arial"/>
          <w:color w:val="FF0000"/>
          <w:sz w:val="22"/>
          <w:szCs w:val="22"/>
        </w:rPr>
      </w:pPr>
      <w:sdt>
        <w:sdtPr>
          <w:tag w:val="goog_rdk_4"/>
          <w:id w:val="413440270"/>
        </w:sdtPr>
        <w:sdtContent>
          <w:commentRangeStart w:id="7"/>
        </w:sdtContent>
      </w:sdt>
      <w:r>
        <w:rPr>
          <w:rFonts w:ascii="Arial" w:eastAsia="Arial" w:hAnsi="Arial" w:cs="Arial"/>
          <w:b/>
          <w:sz w:val="22"/>
          <w:szCs w:val="22"/>
        </w:rPr>
        <w:t>C. Significance</w:t>
      </w:r>
      <w:r>
        <w:rPr>
          <w:rFonts w:ascii="Arial" w:eastAsia="Arial" w:hAnsi="Arial" w:cs="Arial"/>
          <w:color w:val="FF0000"/>
          <w:sz w:val="22"/>
          <w:szCs w:val="22"/>
        </w:rPr>
        <w:t xml:space="preserve"> (1 page max)</w:t>
      </w:r>
    </w:p>
    <w:p w14:paraId="61EB59AC" w14:textId="64E5FE5C" w:rsidR="00A83085" w:rsidRDefault="00A83085" w:rsidP="00A83085">
      <w:pPr>
        <w:rPr>
          <w:rFonts w:ascii="Arial" w:eastAsia="Arial" w:hAnsi="Arial" w:cs="Arial"/>
          <w:sz w:val="22"/>
          <w:szCs w:val="22"/>
        </w:rPr>
      </w:pPr>
      <w:bookmarkStart w:id="8" w:name="_heading=h.q3pd94zft96" w:colFirst="0" w:colLast="0"/>
      <w:bookmarkEnd w:id="8"/>
      <w:r w:rsidRPr="00A83085">
        <w:rPr>
          <w:rFonts w:ascii="Arial" w:eastAsia="Arial" w:hAnsi="Arial" w:cs="Arial"/>
          <w:sz w:val="22"/>
          <w:szCs w:val="22"/>
        </w:rPr>
        <w:t xml:space="preserve">The AER has established and standardized antiviral assays that have been critical for driving the SAR for the ASAP </w:t>
      </w:r>
      <w:r>
        <w:rPr>
          <w:rFonts w:ascii="Arial" w:eastAsia="Arial" w:hAnsi="Arial" w:cs="Arial"/>
          <w:sz w:val="22"/>
          <w:szCs w:val="22"/>
        </w:rPr>
        <w:t>enterovirus and flavivirus</w:t>
      </w:r>
      <w:r w:rsidRPr="00A83085">
        <w:rPr>
          <w:rFonts w:ascii="Arial" w:eastAsia="Arial" w:hAnsi="Arial" w:cs="Arial"/>
          <w:sz w:val="22"/>
          <w:szCs w:val="22"/>
        </w:rPr>
        <w:t xml:space="preserve"> targeted programs. This has led to the identification of </w:t>
      </w:r>
      <w:r>
        <w:rPr>
          <w:rFonts w:ascii="Arial" w:eastAsia="Arial" w:hAnsi="Arial" w:cs="Arial"/>
          <w:sz w:val="22"/>
          <w:szCs w:val="22"/>
        </w:rPr>
        <w:t>initial hits</w:t>
      </w:r>
      <w:r w:rsidRPr="00A83085">
        <w:rPr>
          <w:rFonts w:ascii="Arial" w:eastAsia="Arial" w:hAnsi="Arial" w:cs="Arial"/>
          <w:sz w:val="22"/>
          <w:szCs w:val="22"/>
        </w:rPr>
        <w:t xml:space="preserve"> for both programs with </w:t>
      </w:r>
      <w:r>
        <w:rPr>
          <w:rFonts w:ascii="Arial" w:eastAsia="Arial" w:hAnsi="Arial" w:cs="Arial"/>
          <w:sz w:val="22"/>
          <w:szCs w:val="22"/>
        </w:rPr>
        <w:t xml:space="preserve">micromolar and sub-micromolar </w:t>
      </w:r>
      <w:r w:rsidRPr="00A83085">
        <w:rPr>
          <w:rFonts w:ascii="Arial" w:eastAsia="Arial" w:hAnsi="Arial" w:cs="Arial"/>
          <w:sz w:val="22"/>
          <w:szCs w:val="22"/>
        </w:rPr>
        <w:t>potency. Furthermore, the AER has developed</w:t>
      </w:r>
      <w:r>
        <w:rPr>
          <w:rFonts w:ascii="Arial" w:eastAsia="Arial" w:hAnsi="Arial" w:cs="Arial"/>
          <w:sz w:val="22"/>
          <w:szCs w:val="22"/>
        </w:rPr>
        <w:t xml:space="preserve"> primary-like iPSC medium-throughput screening assays for coronavirus,</w:t>
      </w:r>
      <w:r w:rsidRPr="00A83085">
        <w:rPr>
          <w:rFonts w:ascii="Arial" w:eastAsia="Arial" w:hAnsi="Arial" w:cs="Arial"/>
          <w:sz w:val="22"/>
          <w:szCs w:val="22"/>
        </w:rPr>
        <w:t xml:space="preserve"> flavivirus</w:t>
      </w:r>
      <w:r>
        <w:rPr>
          <w:rFonts w:ascii="Arial" w:eastAsia="Arial" w:hAnsi="Arial" w:cs="Arial"/>
          <w:sz w:val="22"/>
          <w:szCs w:val="22"/>
        </w:rPr>
        <w:t>,</w:t>
      </w:r>
      <w:r w:rsidRPr="00A83085">
        <w:rPr>
          <w:rFonts w:ascii="Arial" w:eastAsia="Arial" w:hAnsi="Arial" w:cs="Arial"/>
          <w:sz w:val="22"/>
          <w:szCs w:val="22"/>
        </w:rPr>
        <w:t xml:space="preserve"> and enterovirus. </w:t>
      </w:r>
      <w:r w:rsidR="00BA1834">
        <w:rPr>
          <w:rFonts w:ascii="Arial" w:eastAsia="Arial" w:hAnsi="Arial" w:cs="Arial"/>
          <w:sz w:val="22"/>
          <w:szCs w:val="22"/>
        </w:rPr>
        <w:t>These iPSC-derived cell lines were differentiated into multiple lineages to establish the screening models in cell types that are relevant to the pathogenesis of each virus. The cell types developed by the AER core in collaboration with the Zwaka laboratory, through the AViDD Developmental Award, were</w:t>
      </w:r>
      <w:r w:rsidR="001C3767">
        <w:rPr>
          <w:rFonts w:ascii="Arial" w:eastAsia="Arial" w:hAnsi="Arial" w:cs="Arial"/>
          <w:sz w:val="22"/>
          <w:szCs w:val="22"/>
        </w:rPr>
        <w:t xml:space="preserve"> pneumocytes (coronavirus, enterovirus), hepatocytes (coronavirus, flavivirus, enterovirus), macrophages </w:t>
      </w:r>
      <w:r w:rsidR="001C3767">
        <w:rPr>
          <w:rFonts w:ascii="Arial" w:eastAsia="Arial" w:hAnsi="Arial" w:cs="Arial"/>
          <w:sz w:val="22"/>
          <w:szCs w:val="22"/>
        </w:rPr>
        <w:t>(coronavirus, flavivirus, enterovirus)</w:t>
      </w:r>
      <w:r w:rsidR="001C3767">
        <w:rPr>
          <w:rFonts w:ascii="Arial" w:eastAsia="Arial" w:hAnsi="Arial" w:cs="Arial"/>
          <w:sz w:val="22"/>
          <w:szCs w:val="22"/>
        </w:rPr>
        <w:t xml:space="preserve">, and neurons </w:t>
      </w:r>
      <w:r w:rsidR="001C3767">
        <w:rPr>
          <w:rFonts w:ascii="Arial" w:eastAsia="Arial" w:hAnsi="Arial" w:cs="Arial"/>
          <w:sz w:val="22"/>
          <w:szCs w:val="22"/>
        </w:rPr>
        <w:t>(coronavirus, flavivirus, enterovirus)</w:t>
      </w:r>
      <w:r w:rsidR="001C3767">
        <w:rPr>
          <w:rFonts w:ascii="Arial" w:eastAsia="Arial" w:hAnsi="Arial" w:cs="Arial"/>
          <w:sz w:val="22"/>
          <w:szCs w:val="22"/>
        </w:rPr>
        <w:t>. We believe with these assays in place, the AER can now produce antiviral potency data sets in relevant primary-like cell types to reflect the potency of the compounds most accurately at the relevant site of viral infection for all ASAP targeted viral families.</w:t>
      </w:r>
      <w:r w:rsidR="00BD2BAD">
        <w:rPr>
          <w:rFonts w:ascii="Arial" w:eastAsia="Arial" w:hAnsi="Arial" w:cs="Arial"/>
          <w:sz w:val="22"/>
          <w:szCs w:val="22"/>
        </w:rPr>
        <w:t xml:space="preserve"> We believe that potency values from these iPSC models will be critical in determining the dosage levels used as we progress into animal models for all ASAP projects.</w:t>
      </w:r>
    </w:p>
    <w:p w14:paraId="14248144" w14:textId="1F60F5B5" w:rsidR="00BD2BAD" w:rsidRPr="00A83085" w:rsidRDefault="00BD2BAD" w:rsidP="00A83085">
      <w:pPr>
        <w:rPr>
          <w:rFonts w:ascii="Arial" w:eastAsia="Arial" w:hAnsi="Arial" w:cs="Arial"/>
          <w:sz w:val="22"/>
          <w:szCs w:val="22"/>
        </w:rPr>
      </w:pPr>
      <w:r>
        <w:rPr>
          <w:rFonts w:ascii="Arial" w:eastAsia="Arial" w:hAnsi="Arial" w:cs="Arial"/>
          <w:sz w:val="22"/>
          <w:szCs w:val="22"/>
        </w:rPr>
        <w:t xml:space="preserve">The ASAP consortium and the AER have thoroughly explored the macrodomain target for coronaviruses in multiple biochemical and cell-based assays. Through this work, the crystallographic, </w:t>
      </w:r>
      <w:proofErr w:type="gramStart"/>
      <w:r>
        <w:rPr>
          <w:rFonts w:ascii="Arial" w:eastAsia="Arial" w:hAnsi="Arial" w:cs="Arial"/>
          <w:sz w:val="22"/>
          <w:szCs w:val="22"/>
        </w:rPr>
        <w:t>biochemical</w:t>
      </w:r>
      <w:proofErr w:type="gramEnd"/>
      <w:r>
        <w:rPr>
          <w:rFonts w:ascii="Arial" w:eastAsia="Arial" w:hAnsi="Arial" w:cs="Arial"/>
          <w:sz w:val="22"/>
          <w:szCs w:val="22"/>
        </w:rPr>
        <w:t xml:space="preserve"> and cellular assays correlating the impact of Mac1 inhibition on viral replication and the ADP-ribosylation states of infected cells will be of great interest to the antiviral drug discovery field. The ASAP consortium is in the process of publishing this work so that our learnings on this target can be widely distributed. Furthermore, the AER core will continue to explore cell-based models capable of driving the SAR of the macrodomain program, at which time a restart of the program can be determined by the ASAP membership.</w:t>
      </w:r>
    </w:p>
    <w:p w14:paraId="1CDC092F" w14:textId="18E30A52" w:rsidR="00A83085" w:rsidRPr="00A83085" w:rsidRDefault="00A83085" w:rsidP="00A83085">
      <w:pPr>
        <w:rPr>
          <w:rFonts w:ascii="Arial" w:eastAsia="Arial" w:hAnsi="Arial" w:cs="Arial"/>
          <w:sz w:val="22"/>
          <w:szCs w:val="22"/>
        </w:rPr>
      </w:pPr>
      <w:r w:rsidRPr="00A83085">
        <w:rPr>
          <w:rFonts w:ascii="Arial" w:eastAsia="Arial" w:hAnsi="Arial" w:cs="Arial"/>
          <w:sz w:val="22"/>
          <w:szCs w:val="22"/>
        </w:rPr>
        <w:t xml:space="preserve">The </w:t>
      </w:r>
      <w:r w:rsidR="00BD2BAD">
        <w:rPr>
          <w:rFonts w:ascii="Arial" w:eastAsia="Arial" w:hAnsi="Arial" w:cs="Arial"/>
          <w:sz w:val="22"/>
          <w:szCs w:val="22"/>
        </w:rPr>
        <w:t>continued</w:t>
      </w:r>
      <w:r w:rsidRPr="00A83085">
        <w:rPr>
          <w:rFonts w:ascii="Arial" w:eastAsia="Arial" w:hAnsi="Arial" w:cs="Arial"/>
          <w:sz w:val="22"/>
          <w:szCs w:val="22"/>
        </w:rPr>
        <w:t xml:space="preserve"> implementation</w:t>
      </w:r>
      <w:r w:rsidR="00BD2BAD">
        <w:rPr>
          <w:rFonts w:ascii="Arial" w:eastAsia="Arial" w:hAnsi="Arial" w:cs="Arial"/>
          <w:sz w:val="22"/>
          <w:szCs w:val="22"/>
        </w:rPr>
        <w:t xml:space="preserve"> and improvement</w:t>
      </w:r>
      <w:r w:rsidRPr="00A83085">
        <w:rPr>
          <w:rFonts w:ascii="Arial" w:eastAsia="Arial" w:hAnsi="Arial" w:cs="Arial"/>
          <w:sz w:val="22"/>
          <w:szCs w:val="22"/>
        </w:rPr>
        <w:t xml:space="preserve"> of the automated liquid handling </w:t>
      </w:r>
      <w:r w:rsidR="00BD2BAD">
        <w:rPr>
          <w:rFonts w:ascii="Arial" w:eastAsia="Arial" w:hAnsi="Arial" w:cs="Arial"/>
          <w:sz w:val="22"/>
          <w:szCs w:val="22"/>
        </w:rPr>
        <w:t>methods</w:t>
      </w:r>
      <w:r w:rsidRPr="00A83085">
        <w:rPr>
          <w:rFonts w:ascii="Arial" w:eastAsia="Arial" w:hAnsi="Arial" w:cs="Arial"/>
          <w:sz w:val="22"/>
          <w:szCs w:val="22"/>
        </w:rPr>
        <w:t xml:space="preserve"> will have a large impact on the through-put and consistency of the AER data and therefore will allow the AER to continuing to improve data quality and turn-around for the entire ASAP consortium as more antiviral programs come online.</w:t>
      </w:r>
    </w:p>
    <w:p w14:paraId="0000014C" w14:textId="4C2AD11D" w:rsidR="00E77255" w:rsidRPr="00A72A2E" w:rsidRDefault="00A83085">
      <w:pPr>
        <w:rPr>
          <w:rFonts w:ascii="Arial" w:eastAsia="Arial" w:hAnsi="Arial" w:cs="Arial"/>
          <w:sz w:val="22"/>
          <w:szCs w:val="22"/>
        </w:rPr>
      </w:pPr>
      <w:r w:rsidRPr="00A83085">
        <w:rPr>
          <w:rFonts w:ascii="Arial" w:eastAsia="Arial" w:hAnsi="Arial" w:cs="Arial"/>
          <w:sz w:val="22"/>
          <w:szCs w:val="22"/>
        </w:rPr>
        <w:t xml:space="preserve">The establishment of the 8HUM model is critical for addressing one of the major weaknesses of the ASAP animal model pipeline, reliance on murine models and therefore exposure to mouse-specific PK issues. The availability of this model will have a major impact on our ability to navigate the potential for poor mouse-specific PK, which is </w:t>
      </w:r>
      <w:r w:rsidR="00BD2BAD">
        <w:rPr>
          <w:rFonts w:ascii="Arial" w:eastAsia="Arial" w:hAnsi="Arial" w:cs="Arial"/>
          <w:sz w:val="22"/>
          <w:szCs w:val="22"/>
        </w:rPr>
        <w:t>now being translated to</w:t>
      </w:r>
      <w:r w:rsidRPr="00A83085">
        <w:rPr>
          <w:rFonts w:ascii="Arial" w:eastAsia="Arial" w:hAnsi="Arial" w:cs="Arial"/>
          <w:sz w:val="22"/>
          <w:szCs w:val="22"/>
        </w:rPr>
        <w:t xml:space="preserve"> the ASAP MERS-CoV Mpro program.</w:t>
      </w:r>
      <w:bookmarkStart w:id="9" w:name="_heading=h.63qy36o5aev7" w:colFirst="0" w:colLast="0"/>
      <w:bookmarkEnd w:id="9"/>
    </w:p>
    <w:p w14:paraId="57219281" w14:textId="77777777" w:rsidR="00A72A2E" w:rsidRDefault="00A72A2E">
      <w:pPr>
        <w:rPr>
          <w:rFonts w:ascii="Arial" w:eastAsia="Arial" w:hAnsi="Arial" w:cs="Arial"/>
          <w:b/>
          <w:sz w:val="22"/>
          <w:szCs w:val="22"/>
        </w:rPr>
      </w:pPr>
    </w:p>
    <w:p w14:paraId="0000014D" w14:textId="21A5224C" w:rsidR="00E77255" w:rsidRDefault="00000000">
      <w:pPr>
        <w:rPr>
          <w:rFonts w:ascii="Arial" w:eastAsia="Arial" w:hAnsi="Arial" w:cs="Arial"/>
          <w:color w:val="FF0000"/>
          <w:sz w:val="22"/>
          <w:szCs w:val="22"/>
        </w:rPr>
      </w:pPr>
      <w:r>
        <w:rPr>
          <w:rFonts w:ascii="Arial" w:eastAsia="Arial" w:hAnsi="Arial" w:cs="Arial"/>
          <w:b/>
          <w:sz w:val="22"/>
          <w:szCs w:val="22"/>
        </w:rPr>
        <w:t>D. Plans</w:t>
      </w:r>
      <w:r>
        <w:rPr>
          <w:rFonts w:ascii="Arial" w:eastAsia="Arial" w:hAnsi="Arial" w:cs="Arial"/>
          <w:color w:val="FF0000"/>
          <w:sz w:val="22"/>
          <w:szCs w:val="22"/>
        </w:rPr>
        <w:t xml:space="preserve"> (1 page max)</w:t>
      </w:r>
    </w:p>
    <w:p w14:paraId="00000150" w14:textId="546B5A1C" w:rsidR="00E77255" w:rsidRPr="00A72A2E" w:rsidRDefault="00A72A2E">
      <w:pPr>
        <w:rPr>
          <w:rFonts w:ascii="Arial" w:eastAsia="Arial" w:hAnsi="Arial" w:cs="Arial"/>
          <w:b/>
          <w:bCs/>
          <w:color w:val="000000" w:themeColor="text1"/>
          <w:sz w:val="22"/>
          <w:szCs w:val="22"/>
        </w:rPr>
      </w:pPr>
      <w:bookmarkStart w:id="10" w:name="_heading=h.eysmryr9ccrn" w:colFirst="0" w:colLast="0"/>
      <w:bookmarkStart w:id="11" w:name="_heading=h.58famjszzjac" w:colFirst="0" w:colLast="0"/>
      <w:bookmarkStart w:id="12" w:name="_heading=h.xcwkwcuxgzz6" w:colFirst="0" w:colLast="0"/>
      <w:bookmarkEnd w:id="10"/>
      <w:bookmarkEnd w:id="11"/>
      <w:bookmarkEnd w:id="12"/>
      <w:r w:rsidRPr="00A72A2E">
        <w:rPr>
          <w:rFonts w:ascii="Arial" w:eastAsia="Arial" w:hAnsi="Arial" w:cs="Arial"/>
          <w:b/>
          <w:bCs/>
          <w:color w:val="000000" w:themeColor="text1"/>
          <w:sz w:val="22"/>
          <w:szCs w:val="22"/>
        </w:rPr>
        <w:t>Improvements in throughput and cycle times</w:t>
      </w:r>
    </w:p>
    <w:p w14:paraId="2324BD68" w14:textId="00C7B65C" w:rsidR="005769B9" w:rsidRDefault="005769B9" w:rsidP="005769B9">
      <w:pPr>
        <w:spacing w:after="80"/>
        <w:jc w:val="both"/>
        <w:rPr>
          <w:rFonts w:ascii="Arial" w:eastAsia="Arial" w:hAnsi="Arial" w:cs="Arial"/>
          <w:sz w:val="22"/>
          <w:szCs w:val="22"/>
        </w:rPr>
      </w:pPr>
      <w:bookmarkStart w:id="13" w:name="_heading=h.tgh5vkvmgs3o" w:colFirst="0" w:colLast="0"/>
      <w:bookmarkEnd w:id="13"/>
      <w:r>
        <w:rPr>
          <w:rFonts w:ascii="Arial" w:eastAsia="Arial" w:hAnsi="Arial" w:cs="Arial"/>
          <w:sz w:val="22"/>
          <w:szCs w:val="22"/>
        </w:rPr>
        <w:t>The end-to-end automation in 96-well format has allowed the AER core to boost antiviral efficacy throughput from ~20-30 compound batches up to 60 compound batches. We plan further improvements in our antiviral assay throughput as we miniaturize down to 384-well format, which now can be accomplished with end-to-end automation complete.</w:t>
      </w:r>
      <w:r w:rsidR="00595B7A">
        <w:rPr>
          <w:rFonts w:ascii="Arial" w:eastAsia="Arial" w:hAnsi="Arial" w:cs="Arial"/>
          <w:sz w:val="22"/>
          <w:szCs w:val="22"/>
        </w:rPr>
        <w:t xml:space="preserve"> Over the next year the AER plans to incorporate full automation into all antiviral assays run at the BSL2 level. The AER core will then establish a fully automated 384-well format antiviral assay for </w:t>
      </w:r>
      <w:r w:rsidR="00595B7A">
        <w:rPr>
          <w:rFonts w:ascii="Arial" w:eastAsia="Arial" w:hAnsi="Arial" w:cs="Arial"/>
          <w:sz w:val="22"/>
          <w:szCs w:val="22"/>
        </w:rPr>
        <w:t>the attenuated rSARS-CoV-2 Δ3a/Δ7b</w:t>
      </w:r>
      <w:r w:rsidR="00595B7A">
        <w:rPr>
          <w:rFonts w:ascii="Arial" w:eastAsia="Arial" w:hAnsi="Arial" w:cs="Arial"/>
          <w:sz w:val="22"/>
          <w:szCs w:val="22"/>
        </w:rPr>
        <w:t xml:space="preserve"> virus. We will work to establish conditions and automated protocols that will yield the necessary z’-factors </w:t>
      </w:r>
      <w:r w:rsidR="00C12178">
        <w:rPr>
          <w:rFonts w:ascii="Arial" w:eastAsia="Arial" w:hAnsi="Arial" w:cs="Arial"/>
          <w:sz w:val="22"/>
          <w:szCs w:val="22"/>
        </w:rPr>
        <w:t xml:space="preserve">and increase throughput from 60 compounds up to 200 compounds per run. As </w:t>
      </w:r>
      <w:r w:rsidR="00C12178">
        <w:rPr>
          <w:rFonts w:ascii="Arial" w:eastAsia="Arial" w:hAnsi="Arial" w:cs="Arial"/>
          <w:sz w:val="22"/>
          <w:szCs w:val="22"/>
        </w:rPr>
        <w:lastRenderedPageBreak/>
        <w:t xml:space="preserve">more projects progress from Fragment-to-Lead to Lead Optimization, the AER core will require this throughput to ensure all ASAP projects has cycle times for efficient Lead development. </w:t>
      </w:r>
    </w:p>
    <w:p w14:paraId="5E191FCA" w14:textId="45394E68" w:rsidR="00A72A2E" w:rsidRPr="00A72A2E" w:rsidRDefault="00A72A2E" w:rsidP="005769B9">
      <w:pPr>
        <w:spacing w:after="80"/>
        <w:jc w:val="both"/>
        <w:rPr>
          <w:rFonts w:ascii="Arial" w:eastAsia="Arial" w:hAnsi="Arial" w:cs="Arial"/>
          <w:b/>
          <w:bCs/>
          <w:sz w:val="22"/>
          <w:szCs w:val="22"/>
        </w:rPr>
      </w:pPr>
      <w:r w:rsidRPr="00A72A2E">
        <w:rPr>
          <w:rFonts w:ascii="Arial" w:eastAsia="Arial" w:hAnsi="Arial" w:cs="Arial"/>
          <w:b/>
          <w:bCs/>
          <w:sz w:val="22"/>
          <w:szCs w:val="22"/>
        </w:rPr>
        <w:t>Antiviral Resistance Analysis</w:t>
      </w:r>
    </w:p>
    <w:p w14:paraId="13C2618B" w14:textId="1C1946FA" w:rsidR="005769B9" w:rsidRDefault="008A77E1">
      <w:pPr>
        <w:rPr>
          <w:rFonts w:ascii="Arial" w:eastAsia="Arial" w:hAnsi="Arial" w:cs="Arial"/>
          <w:sz w:val="22"/>
          <w:szCs w:val="22"/>
        </w:rPr>
      </w:pPr>
      <w:r>
        <w:rPr>
          <w:rFonts w:ascii="Arial" w:eastAsia="Arial" w:hAnsi="Arial" w:cs="Arial"/>
          <w:sz w:val="22"/>
          <w:szCs w:val="22"/>
        </w:rPr>
        <w:t xml:space="preserve">The AER core received direction from the NIH and AViDD program that antiviral resistance analysis for SARS-CoV-2 should be restricted to established attenuated strains of the virus. This guidance caused the AER core to take our antiviral resistance pipeline using SARS-CoV-2/WA1 offline as we obtained the </w:t>
      </w:r>
      <w:r>
        <w:rPr>
          <w:rFonts w:ascii="Arial" w:eastAsia="Arial" w:hAnsi="Arial" w:cs="Arial"/>
          <w:sz w:val="22"/>
          <w:szCs w:val="22"/>
        </w:rPr>
        <w:t>rSARS-CoV-2 Δ3a/Δ7b virus</w:t>
      </w:r>
      <w:r>
        <w:rPr>
          <w:rFonts w:ascii="Arial" w:eastAsia="Arial" w:hAnsi="Arial" w:cs="Arial"/>
          <w:sz w:val="22"/>
          <w:szCs w:val="22"/>
        </w:rPr>
        <w:t xml:space="preserve">, obtained permission from the NIH to work with this virus under BSL2 conditions, and established infection and resistance passaging condition for our analysis. This pipeline has been re-established with </w:t>
      </w:r>
      <w:r>
        <w:rPr>
          <w:rFonts w:ascii="Arial" w:eastAsia="Arial" w:hAnsi="Arial" w:cs="Arial"/>
          <w:sz w:val="22"/>
          <w:szCs w:val="22"/>
        </w:rPr>
        <w:t>the rSARS-CoV-2 Δ3a/Δ7b virus</w:t>
      </w:r>
      <w:r>
        <w:rPr>
          <w:rFonts w:ascii="Arial" w:eastAsia="Arial" w:hAnsi="Arial" w:cs="Arial"/>
          <w:sz w:val="22"/>
          <w:szCs w:val="22"/>
        </w:rPr>
        <w:t>, and the AER core plans to generate resistance profiles for lead ASAP compound series over the next year using this pipeline.</w:t>
      </w:r>
    </w:p>
    <w:p w14:paraId="05930CF1" w14:textId="3AEA5E27" w:rsidR="00A72A2E" w:rsidRPr="00A72A2E" w:rsidRDefault="00A72A2E">
      <w:pPr>
        <w:rPr>
          <w:rFonts w:ascii="Arial" w:eastAsia="Arial" w:hAnsi="Arial" w:cs="Arial"/>
          <w:b/>
          <w:bCs/>
          <w:sz w:val="22"/>
          <w:szCs w:val="22"/>
        </w:rPr>
      </w:pPr>
      <w:r>
        <w:rPr>
          <w:rFonts w:ascii="Arial" w:eastAsia="Arial" w:hAnsi="Arial" w:cs="Arial"/>
          <w:b/>
          <w:bCs/>
          <w:sz w:val="22"/>
          <w:szCs w:val="22"/>
        </w:rPr>
        <w:t>Antiviral Efficacy</w:t>
      </w:r>
      <w:r w:rsidRPr="00A72A2E">
        <w:rPr>
          <w:rFonts w:ascii="Arial" w:eastAsia="Arial" w:hAnsi="Arial" w:cs="Arial"/>
          <w:b/>
          <w:bCs/>
          <w:sz w:val="22"/>
          <w:szCs w:val="22"/>
        </w:rPr>
        <w:t xml:space="preserve"> </w:t>
      </w:r>
      <w:r w:rsidRPr="00A72A2E">
        <w:rPr>
          <w:rFonts w:ascii="Arial" w:eastAsia="Arial" w:hAnsi="Arial" w:cs="Arial"/>
          <w:b/>
          <w:bCs/>
          <w:sz w:val="22"/>
          <w:szCs w:val="22"/>
        </w:rPr>
        <w:t>Animal</w:t>
      </w:r>
      <w:r w:rsidRPr="00A72A2E">
        <w:rPr>
          <w:rFonts w:ascii="Arial" w:eastAsia="Arial" w:hAnsi="Arial" w:cs="Arial"/>
          <w:b/>
          <w:bCs/>
          <w:sz w:val="22"/>
          <w:szCs w:val="22"/>
        </w:rPr>
        <w:t xml:space="preserve"> Model Development</w:t>
      </w:r>
    </w:p>
    <w:p w14:paraId="6F98BC48" w14:textId="4BC17F01" w:rsidR="00A72A2E" w:rsidRPr="00A72A2E" w:rsidRDefault="00000000" w:rsidP="00A72A2E">
      <w:pPr>
        <w:rPr>
          <w:rFonts w:ascii="Arial" w:eastAsia="Arial" w:hAnsi="Arial" w:cs="Arial"/>
          <w:sz w:val="22"/>
          <w:szCs w:val="22"/>
        </w:rPr>
      </w:pPr>
      <w:bookmarkStart w:id="14" w:name="_heading=h.mxaa3xiky64o" w:colFirst="0" w:colLast="0"/>
      <w:bookmarkEnd w:id="14"/>
      <w:commentRangeEnd w:id="7"/>
      <w:r>
        <w:commentReference w:id="7"/>
      </w:r>
      <w:r w:rsidR="00A72A2E" w:rsidRPr="00A72A2E">
        <w:rPr>
          <w:rFonts w:ascii="Arial" w:eastAsia="Arial" w:hAnsi="Arial" w:cs="Arial"/>
          <w:sz w:val="22"/>
          <w:szCs w:val="22"/>
        </w:rPr>
        <w:t>The establishment of the 8HUM model is critical for addressing one of the major weaknesses of the ASAP animal model pipeline, reliance on murine models and therefore exposure to mouse-specific PK issues. The availability of this model will have a major impact on our ability to navigate the potential for poor mouse-specific PK.</w:t>
      </w:r>
      <w:r w:rsidR="00A72A2E">
        <w:rPr>
          <w:rFonts w:ascii="Arial" w:eastAsia="Arial" w:hAnsi="Arial" w:cs="Arial"/>
          <w:sz w:val="22"/>
          <w:szCs w:val="22"/>
        </w:rPr>
        <w:t xml:space="preserve"> The AER core will continue to explore the suitability of this mouse model across the enterovirus and flavivirus families. This will be confounded against viruses like DENV-2, ZIKV, EV-A71, and EV-D68, which have previously been established in IFN-deficient mouse models. We will explore options to improve viral infection in this IFN-competent mouse model, such as antibody-mediate pathogenesis observed in DENV-2 mouse models.</w:t>
      </w:r>
    </w:p>
    <w:p w14:paraId="00000153" w14:textId="517BFD8E" w:rsidR="00E77255" w:rsidRDefault="00E77255">
      <w:pPr>
        <w:rPr>
          <w:rFonts w:ascii="Arial" w:eastAsia="Arial" w:hAnsi="Arial" w:cs="Arial"/>
          <w:sz w:val="22"/>
          <w:szCs w:val="22"/>
        </w:rPr>
      </w:pPr>
    </w:p>
    <w:p w14:paraId="00000154" w14:textId="77777777" w:rsidR="00E77255" w:rsidRDefault="00E77255">
      <w:pPr>
        <w:rPr>
          <w:rFonts w:ascii="Arial" w:eastAsia="Arial" w:hAnsi="Arial" w:cs="Arial"/>
          <w:color w:val="FF0000"/>
          <w:sz w:val="22"/>
          <w:szCs w:val="22"/>
        </w:rPr>
      </w:pPr>
    </w:p>
    <w:p w14:paraId="00000155" w14:textId="77777777" w:rsidR="00E77255" w:rsidRDefault="00E77255">
      <w:pPr>
        <w:rPr>
          <w:rFonts w:ascii="Arial" w:eastAsia="Arial" w:hAnsi="Arial" w:cs="Arial"/>
          <w:sz w:val="22"/>
          <w:szCs w:val="22"/>
        </w:rPr>
      </w:pPr>
    </w:p>
    <w:p w14:paraId="00000156" w14:textId="77777777" w:rsidR="00E77255" w:rsidRDefault="00E77255">
      <w:pPr>
        <w:rPr>
          <w:rFonts w:ascii="Arial" w:eastAsia="Arial" w:hAnsi="Arial" w:cs="Arial"/>
          <w:sz w:val="22"/>
          <w:szCs w:val="22"/>
        </w:rPr>
      </w:pPr>
    </w:p>
    <w:p w14:paraId="00000157" w14:textId="77777777" w:rsidR="00E77255" w:rsidRDefault="00E77255">
      <w:pPr>
        <w:spacing w:after="80"/>
        <w:jc w:val="both"/>
        <w:rPr>
          <w:rFonts w:ascii="Arial" w:eastAsia="Arial" w:hAnsi="Arial" w:cs="Arial"/>
          <w:sz w:val="22"/>
          <w:szCs w:val="22"/>
          <w:u w:val="single"/>
        </w:rPr>
      </w:pPr>
    </w:p>
    <w:p w14:paraId="00000158" w14:textId="77777777" w:rsidR="00E77255" w:rsidRDefault="00E77255">
      <w:pPr>
        <w:spacing w:after="80"/>
        <w:jc w:val="both"/>
        <w:rPr>
          <w:rFonts w:ascii="Arial" w:eastAsia="Arial" w:hAnsi="Arial" w:cs="Arial"/>
          <w:sz w:val="22"/>
          <w:szCs w:val="22"/>
        </w:rPr>
      </w:pPr>
    </w:p>
    <w:sectPr w:rsidR="00E77255">
      <w:headerReference w:type="default" r:id="rId23"/>
      <w:footerReference w:type="default" r:id="rId24"/>
      <w:pgSz w:w="12240" w:h="15840"/>
      <w:pgMar w:top="1152"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ohn Chodera" w:date="2024-04-03T01:37:00Z" w:initials="">
    <w:p w14:paraId="00000160" w14:textId="77777777" w:rsidR="00E77255"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@kris.white@mssm.edu : Can you clarify which cell lines were used at each of the three sites (Antiviral Core, MAVDA, and PCS) and whether P-gp was used or not? It would be helpful to articulate this up front.</w:t>
      </w:r>
    </w:p>
  </w:comment>
  <w:comment w:id="3" w:author="John Chodera" w:date="2024-04-03T01:51:00Z" w:initials="">
    <w:p w14:paraId="0000015E" w14:textId="77777777" w:rsidR="00E77255"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@kris.white@mssm.edu : Can you talk about the SARS-CoV-2 assays you ran here for the Mpro program? In particular, what strain did you use? Does this have the P162H mutation found in Omicron? How many assays were run? What conditions/cell lines?</w:t>
      </w:r>
    </w:p>
    <w:p w14:paraId="0000015F" w14:textId="77777777" w:rsidR="00E77255"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_Assigned to kris.white@mssm.edu_</w:t>
      </w:r>
    </w:p>
  </w:comment>
  <w:comment w:id="4" w:author="John Chodera" w:date="2024-04-03T01:51:00Z" w:initials="">
    <w:p w14:paraId="0000015B" w14:textId="77777777" w:rsidR="00E77255"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I'll clean up these tables later, though I may need to pack them together.</w:t>
      </w:r>
    </w:p>
  </w:comment>
  <w:comment w:id="5" w:author="John Chodera" w:date="2024-04-03T02:52:00Z" w:initials="">
    <w:p w14:paraId="0000015C" w14:textId="77777777" w:rsidR="00E77255"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@kris.white@mssm.edu : The way we're framing Mac1 is that we were searching for cellular models that would be suitable for drive lead opt, but failed to find suitable models. Can you add more about exactly which cell lines you investigated to assess whether compounds showed strong antiviral activity and what the rationale was?</w:t>
      </w:r>
    </w:p>
    <w:p w14:paraId="0000015D" w14:textId="77777777" w:rsidR="00E77255"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_Assigned to kris.white@mssm.edu_</w:t>
      </w:r>
    </w:p>
  </w:comment>
  <w:comment w:id="7" w:author="John Chodera" w:date="2024-04-03T01:31:00Z" w:initials="">
    <w:p w14:paraId="00000161" w14:textId="77777777" w:rsidR="00E77255"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@kris.white@mssm.edu : Just a reminder about Sections C and D!</w:t>
      </w:r>
    </w:p>
    <w:p w14:paraId="00000162" w14:textId="77777777" w:rsidR="00E77255"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_Assigned to kris.white@mssm.edu_</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60" w15:done="1"/>
  <w15:commentEx w15:paraId="0000015F" w15:done="1"/>
  <w15:commentEx w15:paraId="0000015B" w15:done="0"/>
  <w15:commentEx w15:paraId="0000015D" w15:done="1"/>
  <w15:commentEx w15:paraId="0000016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60" w16cid:durableId="37A729EE"/>
  <w16cid:commentId w16cid:paraId="0000015F" w16cid:durableId="233AD475"/>
  <w16cid:commentId w16cid:paraId="0000015B" w16cid:durableId="6DAD5762"/>
  <w16cid:commentId w16cid:paraId="0000015D" w16cid:durableId="1B1308DE"/>
  <w16cid:commentId w16cid:paraId="00000162" w16cid:durableId="2EE0B1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D36D4" w14:textId="77777777" w:rsidR="00F362AF" w:rsidRDefault="00F362AF">
      <w:r>
        <w:separator/>
      </w:r>
    </w:p>
  </w:endnote>
  <w:endnote w:type="continuationSeparator" w:id="0">
    <w:p w14:paraId="2CD8DF32" w14:textId="77777777" w:rsidR="00F362AF" w:rsidRDefault="00F36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A" w14:textId="77777777" w:rsidR="00E77255" w:rsidRDefault="00000000">
    <w:pPr>
      <w:pBdr>
        <w:top w:val="single" w:sz="6" w:space="1" w:color="000000"/>
        <w:left w:val="nil"/>
        <w:bottom w:val="nil"/>
        <w:right w:val="nil"/>
        <w:between w:val="nil"/>
      </w:pBdr>
      <w:tabs>
        <w:tab w:val="center" w:pos="5400"/>
        <w:tab w:val="right" w:pos="10800"/>
      </w:tabs>
      <w:rPr>
        <w:rFonts w:ascii="Arial" w:eastAsia="Arial" w:hAnsi="Arial" w:cs="Arial"/>
        <w:color w:val="000000"/>
        <w:sz w:val="16"/>
        <w:szCs w:val="16"/>
      </w:rPr>
    </w:pPr>
    <w:r>
      <w:rPr>
        <w:rFonts w:ascii="Arial" w:eastAsia="Arial" w:hAnsi="Arial" w:cs="Arial"/>
        <w:color w:val="000000"/>
        <w:sz w:val="16"/>
        <w:szCs w:val="16"/>
      </w:rPr>
      <w:t>0925-0001 (Rev. 03/16)</w:t>
    </w:r>
    <w:r>
      <w:rPr>
        <w:rFonts w:ascii="Arial" w:eastAsia="Arial" w:hAnsi="Arial" w:cs="Arial"/>
        <w:color w:val="000000"/>
        <w:sz w:val="16"/>
        <w:szCs w:val="16"/>
      </w:rPr>
      <w:tab/>
      <w:t xml:space="preserve">Page </w:t>
    </w:r>
    <w:r>
      <w:rPr>
        <w:rFonts w:ascii="Arial" w:eastAsia="Arial" w:hAnsi="Arial" w:cs="Arial"/>
        <w:color w:val="000000"/>
        <w:sz w:val="20"/>
        <w:szCs w:val="20"/>
        <w:u w:val="single"/>
      </w:rPr>
      <w:t xml:space="preserve">     </w:t>
    </w:r>
    <w:r>
      <w:rPr>
        <w:rFonts w:ascii="Arial" w:eastAsia="Arial" w:hAnsi="Arial" w:cs="Arial"/>
        <w:color w:val="000000"/>
        <w:sz w:val="16"/>
        <w:szCs w:val="16"/>
      </w:rPr>
      <w:tab/>
    </w:r>
    <w:r>
      <w:rPr>
        <w:rFonts w:ascii="Arial" w:eastAsia="Arial" w:hAnsi="Arial" w:cs="Arial"/>
        <w:b/>
        <w:color w:val="000000"/>
        <w:sz w:val="16"/>
        <w:szCs w:val="16"/>
      </w:rPr>
      <w:t>Continuation Format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65FD2" w14:textId="77777777" w:rsidR="00F362AF" w:rsidRDefault="00F362AF">
      <w:r>
        <w:separator/>
      </w:r>
    </w:p>
  </w:footnote>
  <w:footnote w:type="continuationSeparator" w:id="0">
    <w:p w14:paraId="631C702F" w14:textId="77777777" w:rsidR="00F362AF" w:rsidRDefault="00F36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9" w14:textId="77777777" w:rsidR="00E77255" w:rsidRDefault="00000000">
    <w:pPr>
      <w:pBdr>
        <w:top w:val="nil"/>
        <w:left w:val="nil"/>
        <w:bottom w:val="nil"/>
        <w:right w:val="nil"/>
        <w:between w:val="nil"/>
      </w:pBdr>
      <w:spacing w:after="40"/>
      <w:ind w:left="864"/>
      <w:rPr>
        <w:rFonts w:ascii="Arial" w:eastAsia="Arial" w:hAnsi="Arial" w:cs="Arial"/>
        <w:b/>
        <w:color w:val="000000"/>
        <w:sz w:val="16"/>
        <w:szCs w:val="16"/>
      </w:rPr>
    </w:pPr>
    <w:r>
      <w:rPr>
        <w:rFonts w:ascii="Arial" w:eastAsia="Arial" w:hAnsi="Arial" w:cs="Arial"/>
        <w:color w:val="000000"/>
        <w:sz w:val="16"/>
        <w:szCs w:val="16"/>
      </w:rPr>
      <w:t xml:space="preserve">Program Director/Principal Investigator (Last, First, Middle):    </w:t>
    </w:r>
    <w:r>
      <w:rPr>
        <w:rFonts w:ascii="Arial" w:eastAsia="Arial" w:hAnsi="Arial" w:cs="Arial"/>
        <w:b/>
        <w:sz w:val="16"/>
        <w:szCs w:val="16"/>
      </w:rPr>
      <w:t>CHODERA, JOHN DAMON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36C54"/>
    <w:multiLevelType w:val="multilevel"/>
    <w:tmpl w:val="34F6521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77105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255"/>
    <w:rsid w:val="000D65CE"/>
    <w:rsid w:val="001C3767"/>
    <w:rsid w:val="003113E0"/>
    <w:rsid w:val="003F49E2"/>
    <w:rsid w:val="00555654"/>
    <w:rsid w:val="005769B9"/>
    <w:rsid w:val="00595B7A"/>
    <w:rsid w:val="008A77E1"/>
    <w:rsid w:val="0091206A"/>
    <w:rsid w:val="00A72A2E"/>
    <w:rsid w:val="00A83085"/>
    <w:rsid w:val="00BA1834"/>
    <w:rsid w:val="00BD2BAD"/>
    <w:rsid w:val="00C12178"/>
    <w:rsid w:val="00D52BC1"/>
    <w:rsid w:val="00E77255"/>
    <w:rsid w:val="00F3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FA22"/>
  <w15:docId w15:val="{B14E8BC1-28E3-8045-86C3-79D127D7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style>
  <w:style w:type="paragraph" w:styleId="Heading1">
    <w:name w:val="heading 1"/>
    <w:basedOn w:val="Normal"/>
    <w:next w:val="Normal"/>
    <w:uiPriority w:val="9"/>
    <w:qFormat/>
    <w:pPr>
      <w:keepNext/>
      <w:jc w:val="center"/>
      <w:outlineLvl w:val="0"/>
    </w:pPr>
    <w:rPr>
      <w:rFonts w:ascii="Arial" w:hAnsi="Arial" w:cs="Arial"/>
      <w:b/>
      <w:bCs/>
      <w:sz w:val="22"/>
      <w:szCs w:val="22"/>
    </w:rPr>
  </w:style>
  <w:style w:type="paragraph" w:styleId="Heading2">
    <w:name w:val="heading 2"/>
    <w:basedOn w:val="Normal"/>
    <w:next w:val="Normal"/>
    <w:uiPriority w:val="9"/>
    <w:semiHidden/>
    <w:unhideWhenUsed/>
    <w:qFormat/>
    <w:pPr>
      <w:keepNext/>
      <w:spacing w:before="240" w:after="60"/>
      <w:outlineLvl w:val="1"/>
    </w:pPr>
    <w:rPr>
      <w:rFonts w:ascii="Arial" w:hAnsi="Arial" w:cs="Arial"/>
      <w:b/>
      <w:bCs/>
      <w:i/>
      <w:iCs/>
    </w:rPr>
  </w:style>
  <w:style w:type="paragraph" w:styleId="Heading3">
    <w:name w:val="heading 3"/>
    <w:basedOn w:val="Normal"/>
    <w:next w:val="Normal"/>
    <w:uiPriority w:val="9"/>
    <w:semiHidden/>
    <w:unhideWhenUsed/>
    <w:qFormat/>
    <w:pPr>
      <w:keepNext/>
      <w:spacing w:before="240" w:after="60"/>
      <w:outlineLvl w:val="2"/>
    </w:pPr>
    <w:rPr>
      <w:rFonts w:ascii="Arial" w:hAnsi="Arial" w:cs="Arial"/>
    </w:rPr>
  </w:style>
  <w:style w:type="paragraph" w:styleId="Heading4">
    <w:name w:val="heading 4"/>
    <w:basedOn w:val="Normal"/>
    <w:next w:val="Normal"/>
    <w:uiPriority w:val="9"/>
    <w:semiHidden/>
    <w:unhideWhenUsed/>
    <w:qFormat/>
    <w:pPr>
      <w:keepNext/>
      <w:spacing w:before="240" w:after="60"/>
      <w:outlineLvl w:val="3"/>
    </w:pPr>
    <w:rPr>
      <w:rFonts w:ascii="Arial" w:hAnsi="Arial" w:cs="Arial"/>
      <w:b/>
      <w:bCs/>
    </w:rPr>
  </w:style>
  <w:style w:type="paragraph" w:styleId="Heading5">
    <w:name w:val="heading 5"/>
    <w:basedOn w:val="Normal"/>
    <w:next w:val="Normal"/>
    <w:uiPriority w:val="9"/>
    <w:semiHidden/>
    <w:unhideWhenUsed/>
    <w:qFormat/>
    <w:pPr>
      <w:spacing w:before="240" w:after="60"/>
      <w:outlineLvl w:val="4"/>
    </w:pPr>
    <w:rPr>
      <w:sz w:val="22"/>
      <w:szCs w:val="22"/>
    </w:rPr>
  </w:style>
  <w:style w:type="paragraph" w:styleId="Heading6">
    <w:name w:val="heading 6"/>
    <w:basedOn w:val="Normal"/>
    <w:next w:val="Normal"/>
    <w:uiPriority w:val="9"/>
    <w:semiHidden/>
    <w:unhideWhenUsed/>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spacing w:before="240" w:after="60"/>
      <w:outlineLvl w:val="7"/>
    </w:pPr>
    <w:rPr>
      <w:rFonts w:ascii="Arial" w:hAnsi="Arial" w:cs="Arial"/>
      <w:i/>
      <w:iCs/>
      <w:sz w:val="20"/>
      <w:szCs w:val="20"/>
    </w:rPr>
  </w:style>
  <w:style w:type="paragraph" w:styleId="Heading9">
    <w:name w:val="heading 9"/>
    <w:basedOn w:val="Normal"/>
    <w:next w:val="Normal"/>
    <w:qFormat/>
    <w:pPr>
      <w:spacing w:before="240" w:after="60"/>
      <w:outlineLvl w:val="8"/>
    </w:pPr>
    <w:rPr>
      <w:rFonts w:ascii="Arial" w:hAnsi="Arial" w:cs="Arial"/>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customStyle="1" w:styleId="checkbox">
    <w:name w:val="checkbox"/>
    <w:basedOn w:val="Normal"/>
    <w:pPr>
      <w:pBdr>
        <w:top w:val="single" w:sz="6" w:space="0" w:color="auto"/>
        <w:left w:val="single" w:sz="6" w:space="0" w:color="auto"/>
        <w:bottom w:val="single" w:sz="6" w:space="0" w:color="auto"/>
        <w:right w:val="single" w:sz="6" w:space="0" w:color="auto"/>
      </w:pBdr>
      <w:jc w:val="center"/>
    </w:pPr>
    <w:rPr>
      <w:noProof/>
      <w:color w:val="0000FF"/>
      <w:sz w:val="18"/>
      <w:szCs w:val="18"/>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Indent">
    <w:name w:val="Body Text Indent"/>
    <w:basedOn w:val="Normal"/>
    <w:rPr>
      <w:rFonts w:ascii="Arial" w:hAnsi="Arial" w:cs="Arial"/>
      <w:sz w:val="22"/>
      <w:szCs w:val="22"/>
    </w:r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rPr>
      <w:rFonts w:ascii="Times" w:hAnsi="Times" w:cs="Times"/>
      <w:sz w:val="24"/>
      <w:szCs w:val="24"/>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er">
    <w:name w:val="footer"/>
    <w:basedOn w:val="Normal"/>
    <w:pPr>
      <w:tabs>
        <w:tab w:val="center" w:pos="4320"/>
        <w:tab w:val="right" w:pos="8640"/>
      </w:tabs>
    </w:pPr>
  </w:style>
  <w:style w:type="paragraph" w:styleId="FootnoteText">
    <w:name w:val="footnote text"/>
    <w:basedOn w:val="Normal"/>
    <w:semiHidden/>
    <w:rPr>
      <w:sz w:val="20"/>
      <w:szCs w:val="20"/>
    </w:rPr>
  </w:style>
  <w:style w:type="paragraph" w:styleId="Header">
    <w:name w:val="header"/>
    <w:basedOn w:val="Normal"/>
    <w:pPr>
      <w:tabs>
        <w:tab w:val="center" w:pos="4320"/>
        <w:tab w:val="right" w:pos="864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tabs>
        <w:tab w:val="num" w:pos="720"/>
      </w:tabs>
      <w:ind w:left="720" w:hanging="720"/>
    </w:pPr>
  </w:style>
  <w:style w:type="paragraph" w:styleId="ListBullet3">
    <w:name w:val="List Bullet 3"/>
    <w:basedOn w:val="Normal"/>
    <w:autoRedefine/>
    <w:pPr>
      <w:tabs>
        <w:tab w:val="num" w:pos="720"/>
      </w:tabs>
      <w:ind w:left="720" w:hanging="720"/>
    </w:pPr>
  </w:style>
  <w:style w:type="paragraph" w:styleId="ListBullet4">
    <w:name w:val="List Bullet 4"/>
    <w:basedOn w:val="Normal"/>
    <w:autoRedefine/>
    <w:pPr>
      <w:tabs>
        <w:tab w:val="num" w:pos="720"/>
      </w:tabs>
      <w:ind w:left="720" w:hanging="720"/>
    </w:pPr>
  </w:style>
  <w:style w:type="paragraph" w:styleId="ListBullet5">
    <w:name w:val="List Bullet 5"/>
    <w:basedOn w:val="Normal"/>
    <w:autoRedefine/>
    <w:pPr>
      <w:tabs>
        <w:tab w:val="num" w:pos="720"/>
      </w:tabs>
      <w:ind w:left="720" w:hanging="72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720"/>
      </w:tabs>
      <w:ind w:left="720" w:hanging="720"/>
    </w:pPr>
  </w:style>
  <w:style w:type="paragraph" w:styleId="ListNumber2">
    <w:name w:val="List Number 2"/>
    <w:basedOn w:val="Normal"/>
    <w:pPr>
      <w:tabs>
        <w:tab w:val="num" w:pos="720"/>
      </w:tabs>
      <w:ind w:left="720" w:hanging="720"/>
    </w:pPr>
  </w:style>
  <w:style w:type="paragraph" w:styleId="ListNumber3">
    <w:name w:val="List Number 3"/>
    <w:basedOn w:val="Normal"/>
    <w:pPr>
      <w:tabs>
        <w:tab w:val="num" w:pos="720"/>
      </w:tabs>
      <w:ind w:left="720" w:hanging="720"/>
    </w:pPr>
  </w:style>
  <w:style w:type="paragraph" w:styleId="ListNumber4">
    <w:name w:val="List Number 4"/>
    <w:basedOn w:val="Normal"/>
    <w:pPr>
      <w:tabs>
        <w:tab w:val="num" w:pos="720"/>
      </w:tabs>
      <w:ind w:left="720" w:hanging="720"/>
    </w:pPr>
  </w:style>
  <w:style w:type="paragraph" w:styleId="ListNumber5">
    <w:name w:val="List Number 5"/>
    <w:basedOn w:val="Normal"/>
    <w:pPr>
      <w:tabs>
        <w:tab w:val="num" w:pos="720"/>
      </w:tabs>
      <w:ind w:left="720" w:hanging="72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next w:val="Normal"/>
    <w:uiPriority w:val="11"/>
    <w:qFormat/>
    <w:pPr>
      <w:spacing w:after="60"/>
      <w:jc w:val="center"/>
    </w:pPr>
    <w:rPr>
      <w:rFonts w:ascii="Arial" w:eastAsia="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SubheadinParagraph">
    <w:name w:val="Subhead in Paragraph"/>
    <w:basedOn w:val="DefaultParagraphFont"/>
  </w:style>
  <w:style w:type="paragraph" w:styleId="E-mailSignature">
    <w:name w:val="E-mail Signature"/>
    <w:basedOn w:val="Normal"/>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NormalWeb">
    <w:name w:val="Normal (Web)"/>
    <w:basedOn w:val="Normal"/>
    <w:uiPriority w:val="99"/>
  </w:style>
  <w:style w:type="paragraph" w:customStyle="1" w:styleId="H6">
    <w:name w:val="H6"/>
    <w:basedOn w:val="Normal"/>
    <w:next w:val="Normal"/>
    <w:pPr>
      <w:widowControl w:val="0"/>
      <w:snapToGrid w:val="0"/>
      <w:spacing w:before="100"/>
      <w:outlineLvl w:val="6"/>
    </w:pPr>
    <w:rPr>
      <w:rFonts w:ascii="Arial" w:hAnsi="Arial" w:cs="Arial"/>
      <w:b/>
      <w:bCs/>
      <w:sz w:val="20"/>
      <w:szCs w:val="20"/>
    </w:rPr>
  </w:style>
  <w:style w:type="paragraph" w:customStyle="1" w:styleId="Title2-Small">
    <w:name w:val="Title 2 - Small"/>
    <w:next w:val="Normal"/>
    <w:pPr>
      <w:autoSpaceDE w:val="0"/>
      <w:autoSpaceDN w:val="0"/>
      <w:jc w:val="center"/>
    </w:pPr>
    <w:rPr>
      <w:rFonts w:ascii="Helvetica" w:hAnsi="Helvetica" w:cs="Helvetica"/>
      <w:b/>
      <w:bCs/>
    </w:rPr>
  </w:style>
  <w:style w:type="character" w:styleId="CommentReference">
    <w:name w:val="annotation reference"/>
    <w:basedOn w:val="DefaultParagraphFont"/>
    <w:semiHidden/>
    <w:rPr>
      <w:sz w:val="16"/>
      <w:szCs w:val="16"/>
    </w:rPr>
  </w:style>
  <w:style w:type="paragraph" w:customStyle="1" w:styleId="QuickA">
    <w:name w:val="Quick A."/>
    <w:basedOn w:val="Normal"/>
    <w:pPr>
      <w:widowControl w:val="0"/>
      <w:tabs>
        <w:tab w:val="num" w:pos="720"/>
      </w:tabs>
      <w:ind w:left="720" w:hanging="720"/>
    </w:pPr>
  </w:style>
  <w:style w:type="paragraph" w:customStyle="1" w:styleId="sbirtop">
    <w:name w:val="sbirtop"/>
    <w:basedOn w:val="Normal"/>
    <w:pPr>
      <w:tabs>
        <w:tab w:val="num" w:pos="1440"/>
        <w:tab w:val="num" w:pos="1800"/>
      </w:tabs>
      <w:spacing w:before="100" w:after="240"/>
      <w:ind w:left="1440" w:hanging="720"/>
    </w:pPr>
  </w:style>
  <w:style w:type="paragraph" w:customStyle="1" w:styleId="ReminderList1">
    <w:name w:val="Reminder List 1"/>
    <w:basedOn w:val="Normal"/>
    <w:pPr>
      <w:tabs>
        <w:tab w:val="left" w:pos="360"/>
        <w:tab w:val="num" w:pos="720"/>
      </w:tabs>
      <w:spacing w:after="120" w:line="260" w:lineRule="atLeast"/>
      <w:ind w:left="720" w:hanging="720"/>
    </w:pPr>
    <w:rPr>
      <w:rFonts w:ascii="Helvetica" w:hAnsi="Helvetica" w:cs="Helvetica"/>
      <w:b/>
      <w:bCs/>
      <w:color w:val="000000"/>
      <w:sz w:val="22"/>
      <w:szCs w:val="22"/>
    </w:rPr>
  </w:style>
  <w:style w:type="paragraph" w:customStyle="1" w:styleId="ReminderList2">
    <w:name w:val="Reminder List 2"/>
    <w:basedOn w:val="Normal"/>
    <w:pPr>
      <w:tabs>
        <w:tab w:val="left" w:pos="720"/>
      </w:tabs>
      <w:spacing w:after="60" w:line="260" w:lineRule="atLeast"/>
      <w:ind w:left="749" w:hanging="720"/>
    </w:pPr>
    <w:rPr>
      <w:rFonts w:ascii="Helvetica" w:hAnsi="Helvetica" w:cs="Helvetica"/>
      <w:color w:val="000000"/>
      <w:sz w:val="22"/>
      <w:szCs w:val="22"/>
    </w:rPr>
  </w:style>
  <w:style w:type="paragraph" w:customStyle="1" w:styleId="ReminderList3">
    <w:name w:val="Reminder List 3"/>
    <w:basedOn w:val="Normal"/>
    <w:pPr>
      <w:tabs>
        <w:tab w:val="num" w:pos="720"/>
        <w:tab w:val="left" w:pos="1080"/>
      </w:tabs>
      <w:spacing w:after="60"/>
      <w:ind w:left="1080" w:hanging="720"/>
    </w:pPr>
    <w:rPr>
      <w:rFonts w:ascii="Helvetica" w:hAnsi="Helvetica" w:cs="Helvetica"/>
      <w:sz w:val="22"/>
      <w:szCs w:val="22"/>
    </w:rPr>
  </w:style>
  <w:style w:type="character" w:styleId="Hyperlink">
    <w:name w:val="Hyperlink"/>
    <w:basedOn w:val="DefaultParagraphFont"/>
    <w:rPr>
      <w:color w:val="0000FF"/>
      <w:u w:val="single"/>
    </w:rPr>
  </w:style>
  <w:style w:type="paragraph" w:customStyle="1" w:styleId="DataField10pt">
    <w:name w:val="Data Field 10pt"/>
    <w:basedOn w:val="Normal"/>
    <w:rPr>
      <w:rFonts w:ascii="Arial" w:hAnsi="Arial" w:cs="Arial"/>
      <w:sz w:val="20"/>
      <w:szCs w:val="20"/>
    </w:rPr>
  </w:style>
  <w:style w:type="paragraph" w:customStyle="1" w:styleId="DataField11pt-Single">
    <w:name w:val="Data Field 11pt-Single"/>
    <w:basedOn w:val="Normal"/>
    <w:rsid w:val="00925D28"/>
    <w:rPr>
      <w:rFonts w:ascii="Arial" w:hAnsi="Arial" w:cs="Arial"/>
      <w:sz w:val="22"/>
      <w:szCs w:val="20"/>
    </w:rPr>
  </w:style>
  <w:style w:type="paragraph" w:customStyle="1" w:styleId="FormFooter">
    <w:name w:val="Form Footer"/>
    <w:basedOn w:val="Normal"/>
    <w:pPr>
      <w:tabs>
        <w:tab w:val="center" w:pos="5328"/>
        <w:tab w:val="right" w:pos="10728"/>
      </w:tabs>
      <w:ind w:left="58"/>
    </w:pPr>
    <w:rPr>
      <w:rFonts w:ascii="Arial" w:hAnsi="Arial" w:cs="Arial"/>
      <w:sz w:val="16"/>
      <w:szCs w:val="16"/>
    </w:rPr>
  </w:style>
  <w:style w:type="character" w:styleId="PageNumber">
    <w:name w:val="page number"/>
    <w:basedOn w:val="DefaultParagraphFont"/>
    <w:rPr>
      <w:rFonts w:ascii="Arial" w:hAnsi="Arial"/>
      <w:sz w:val="20"/>
      <w:u w:val="single"/>
    </w:rPr>
  </w:style>
  <w:style w:type="paragraph" w:customStyle="1" w:styleId="PIHeader">
    <w:name w:val="PI Header"/>
    <w:basedOn w:val="Normal"/>
    <w:pPr>
      <w:spacing w:after="40"/>
      <w:ind w:left="864"/>
    </w:pPr>
    <w:rPr>
      <w:rFonts w:ascii="Arial" w:hAnsi="Arial" w:cs="Arial"/>
      <w:noProof/>
      <w:sz w:val="16"/>
      <w:szCs w:val="20"/>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ascii="Arial" w:hAnsi="Arial" w:cs="Arial"/>
      <w:sz w:val="16"/>
      <w:szCs w:val="16"/>
    </w:rPr>
  </w:style>
  <w:style w:type="paragraph" w:styleId="BalloonText">
    <w:name w:val="Balloon Text"/>
    <w:basedOn w:val="Normal"/>
    <w:link w:val="BalloonTextChar"/>
    <w:rsid w:val="00725508"/>
    <w:rPr>
      <w:rFonts w:ascii="Segoe UI" w:hAnsi="Segoe UI" w:cs="Segoe UI"/>
      <w:sz w:val="18"/>
      <w:szCs w:val="18"/>
    </w:rPr>
  </w:style>
  <w:style w:type="character" w:customStyle="1" w:styleId="BalloonTextChar">
    <w:name w:val="Balloon Text Char"/>
    <w:basedOn w:val="DefaultParagraphFont"/>
    <w:link w:val="BalloonText"/>
    <w:rsid w:val="00725508"/>
    <w:rPr>
      <w:rFonts w:ascii="Segoe UI" w:hAnsi="Segoe UI" w:cs="Segoe UI"/>
      <w:sz w:val="18"/>
      <w:szCs w:val="18"/>
    </w:rPr>
  </w:style>
  <w:style w:type="table" w:styleId="GridTable4">
    <w:name w:val="Grid Table 4"/>
    <w:basedOn w:val="TableNormal"/>
    <w:uiPriority w:val="49"/>
    <w:rsid w:val="00000C28"/>
    <w:rPr>
      <w:rFonts w:asciiTheme="minorHAnsi" w:eastAsiaTheme="minorHAnsi" w:hAnsiTheme="minorHAnsi" w:cstheme="min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
    <w:basedOn w:val="TableNormal"/>
    <w:rPr>
      <w:rFonts w:ascii="Calibri" w:eastAsia="Calibri" w:hAnsi="Calibri" w:cs="Calibri"/>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rPr>
      <w:rFonts w:ascii="Calibri" w:eastAsia="Calibri" w:hAnsi="Calibri" w:cs="Calibri"/>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rPr>
      <w:rFonts w:ascii="Calibri" w:eastAsia="Calibri" w:hAnsi="Calibri" w:cs="Calibri"/>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rPr>
      <w:rFonts w:ascii="Calibri" w:eastAsia="Calibri" w:hAnsi="Calibri" w:cs="Calibri"/>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1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9.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gOGkfk+/vHpz7JMEzdErR9P3uw==">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4009</Words>
  <Characters>22856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of Extramural Programs</dc:creator>
  <cp:lastModifiedBy>Kris White</cp:lastModifiedBy>
  <cp:revision>8</cp:revision>
  <dcterms:created xsi:type="dcterms:W3CDTF">2024-03-22T20:44:00Z</dcterms:created>
  <dcterms:modified xsi:type="dcterms:W3CDTF">2024-04-16T20:48:00Z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