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12963" w14:textId="77777777" w:rsidR="009F5D85" w:rsidRDefault="009F5D85" w:rsidP="009F5D85">
      <w:pPr>
        <w:pStyle w:val="NormalWeb"/>
        <w:jc w:val="center"/>
        <w:rPr>
          <w:color w:val="000000"/>
          <w:sz w:val="27"/>
          <w:szCs w:val="27"/>
        </w:rPr>
      </w:pPr>
      <w:r>
        <w:rPr>
          <w:rFonts w:ascii="Arial" w:hAnsi="Arial" w:cs="Arial"/>
          <w:b/>
          <w:bCs/>
          <w:color w:val="000000"/>
          <w:sz w:val="27"/>
          <w:szCs w:val="27"/>
        </w:rPr>
        <w:t>ÍTULO IV</w:t>
      </w:r>
      <w:r>
        <w:rPr>
          <w:rFonts w:ascii="Arial" w:hAnsi="Arial" w:cs="Arial"/>
          <w:b/>
          <w:bCs/>
          <w:color w:val="000000"/>
          <w:sz w:val="27"/>
          <w:szCs w:val="27"/>
        </w:rPr>
        <w:br/>
        <w:t>DE LA PARTICIPACIÓN DEMOCRÁTICA</w:t>
      </w:r>
    </w:p>
    <w:p w14:paraId="075D94E2" w14:textId="77777777" w:rsidR="009F5D85" w:rsidRDefault="009F5D85" w:rsidP="009F5D85">
      <w:pPr>
        <w:pStyle w:val="NormalWeb"/>
        <w:jc w:val="center"/>
        <w:rPr>
          <w:color w:val="000000"/>
          <w:sz w:val="27"/>
          <w:szCs w:val="27"/>
        </w:rPr>
      </w:pPr>
      <w:bookmarkStart w:id="0" w:name="1"/>
      <w:bookmarkEnd w:id="0"/>
      <w:r>
        <w:rPr>
          <w:rFonts w:ascii="Arial" w:hAnsi="Arial" w:cs="Arial"/>
          <w:b/>
          <w:bCs/>
          <w:color w:val="000000"/>
          <w:sz w:val="27"/>
          <w:szCs w:val="27"/>
        </w:rPr>
        <w:t>Capítulo 1</w:t>
      </w:r>
      <w:r>
        <w:rPr>
          <w:rFonts w:ascii="Arial" w:hAnsi="Arial" w:cs="Arial"/>
          <w:b/>
          <w:bCs/>
          <w:color w:val="000000"/>
          <w:sz w:val="27"/>
          <w:szCs w:val="27"/>
        </w:rPr>
        <w:br/>
        <w:t>De las elecciones</w:t>
      </w:r>
    </w:p>
    <w:p w14:paraId="2C255461" w14:textId="77777777" w:rsidR="009F5D85" w:rsidRDefault="009F5D85" w:rsidP="009F5D85">
      <w:pPr>
        <w:pStyle w:val="NormalWeb"/>
        <w:rPr>
          <w:color w:val="000000"/>
          <w:sz w:val="27"/>
          <w:szCs w:val="27"/>
        </w:rPr>
      </w:pPr>
      <w:r>
        <w:rPr>
          <w:rFonts w:ascii="Arial" w:hAnsi="Arial" w:cs="Arial"/>
          <w:b/>
          <w:bCs/>
          <w:color w:val="000000"/>
          <w:sz w:val="27"/>
          <w:szCs w:val="27"/>
        </w:rPr>
        <w:t>Art. 98.-</w:t>
      </w:r>
      <w:r>
        <w:rPr>
          <w:rFonts w:ascii="Arial" w:hAnsi="Arial" w:cs="Arial"/>
          <w:color w:val="000000"/>
          <w:sz w:val="27"/>
          <w:szCs w:val="27"/>
        </w:rPr>
        <w:t> Los partidos políticos legalmente reconocidos podrán presentar o auspiciar candidatos para las dignidades de elección popular.</w:t>
      </w:r>
    </w:p>
    <w:p w14:paraId="2F22E282" w14:textId="77777777" w:rsidR="009F5D85" w:rsidRDefault="009F5D85" w:rsidP="009F5D85">
      <w:pPr>
        <w:pStyle w:val="NormalWeb"/>
        <w:rPr>
          <w:color w:val="000000"/>
          <w:sz w:val="27"/>
          <w:szCs w:val="27"/>
        </w:rPr>
      </w:pPr>
      <w:r>
        <w:rPr>
          <w:rFonts w:ascii="Arial" w:hAnsi="Arial" w:cs="Arial"/>
          <w:color w:val="000000"/>
          <w:sz w:val="27"/>
          <w:szCs w:val="27"/>
        </w:rPr>
        <w:t>Podrán también presentarse como candidatos los ciudadanos no afiliados ni auspiciados por partidos políticos</w:t>
      </w:r>
    </w:p>
    <w:p w14:paraId="685863D3" w14:textId="77777777" w:rsidR="009F5D85" w:rsidRDefault="009F5D85" w:rsidP="009F5D85">
      <w:pPr>
        <w:pStyle w:val="NormalWeb"/>
        <w:rPr>
          <w:color w:val="000000"/>
          <w:sz w:val="27"/>
          <w:szCs w:val="27"/>
        </w:rPr>
      </w:pPr>
      <w:r>
        <w:rPr>
          <w:rFonts w:ascii="Arial" w:hAnsi="Arial" w:cs="Arial"/>
          <w:color w:val="000000"/>
          <w:sz w:val="27"/>
          <w:szCs w:val="27"/>
        </w:rPr>
        <w:t>Los ciudadanos elegidos para desempeñar funciones de elección popular podrán ser reelegidos indefinidamente.</w:t>
      </w:r>
    </w:p>
    <w:p w14:paraId="21FA8440" w14:textId="77777777" w:rsidR="009F5D85" w:rsidRDefault="009F5D85" w:rsidP="009F5D85">
      <w:pPr>
        <w:pStyle w:val="NormalWeb"/>
        <w:rPr>
          <w:color w:val="000000"/>
          <w:sz w:val="27"/>
          <w:szCs w:val="27"/>
        </w:rPr>
      </w:pPr>
      <w:r>
        <w:rPr>
          <w:rFonts w:ascii="Arial" w:hAnsi="Arial" w:cs="Arial"/>
          <w:color w:val="000000"/>
          <w:sz w:val="27"/>
          <w:szCs w:val="27"/>
        </w:rPr>
        <w:t xml:space="preserve">El </w:t>
      </w:r>
      <w:proofErr w:type="gramStart"/>
      <w:r>
        <w:rPr>
          <w:rFonts w:ascii="Arial" w:hAnsi="Arial" w:cs="Arial"/>
          <w:color w:val="000000"/>
          <w:sz w:val="27"/>
          <w:szCs w:val="27"/>
        </w:rPr>
        <w:t>Presidente</w:t>
      </w:r>
      <w:proofErr w:type="gramEnd"/>
      <w:r>
        <w:rPr>
          <w:rFonts w:ascii="Arial" w:hAnsi="Arial" w:cs="Arial"/>
          <w:color w:val="000000"/>
          <w:sz w:val="27"/>
          <w:szCs w:val="27"/>
        </w:rPr>
        <w:t xml:space="preserve"> y Vicepresidente de la República podrán ser reelegidos luego de transcurrido un período después de aquel para el cual fueron elegidos.</w:t>
      </w:r>
    </w:p>
    <w:p w14:paraId="22B042A0" w14:textId="77777777" w:rsidR="009F5D85" w:rsidRDefault="009F5D85" w:rsidP="009F5D85">
      <w:pPr>
        <w:pStyle w:val="NormalWeb"/>
        <w:rPr>
          <w:color w:val="000000"/>
          <w:sz w:val="27"/>
          <w:szCs w:val="27"/>
        </w:rPr>
      </w:pPr>
      <w:r>
        <w:rPr>
          <w:rFonts w:ascii="Arial" w:hAnsi="Arial" w:cs="Arial"/>
          <w:color w:val="000000"/>
          <w:sz w:val="27"/>
          <w:szCs w:val="27"/>
        </w:rPr>
        <w:t>La Constitución y la ley señalarán los requisitos para intervenir como candidato en una elección popular.</w:t>
      </w:r>
    </w:p>
    <w:p w14:paraId="5EF8B084" w14:textId="77777777" w:rsidR="009F5D85" w:rsidRDefault="009F5D85" w:rsidP="009F5D85">
      <w:pPr>
        <w:pStyle w:val="NormalWeb"/>
        <w:rPr>
          <w:color w:val="000000"/>
          <w:sz w:val="27"/>
          <w:szCs w:val="27"/>
        </w:rPr>
      </w:pPr>
      <w:r>
        <w:rPr>
          <w:rFonts w:ascii="Arial" w:hAnsi="Arial" w:cs="Arial"/>
          <w:b/>
          <w:bCs/>
          <w:color w:val="000000"/>
          <w:sz w:val="27"/>
          <w:szCs w:val="27"/>
        </w:rPr>
        <w:t>Art. 99.-</w:t>
      </w:r>
      <w:r>
        <w:rPr>
          <w:rFonts w:ascii="Arial" w:hAnsi="Arial" w:cs="Arial"/>
          <w:color w:val="000000"/>
          <w:sz w:val="27"/>
          <w:szCs w:val="27"/>
        </w:rPr>
        <w:t> En las elecciones pluripersonales los ciudadanos podrán seleccionar los candidatos de su preferencia, de una lista o entre listas. La ley conciliará este principio con el de la representación proporcional de las minorías.</w:t>
      </w:r>
    </w:p>
    <w:p w14:paraId="0598A13B" w14:textId="77777777" w:rsidR="009F5D85" w:rsidRDefault="009F5D85" w:rsidP="009F5D85">
      <w:pPr>
        <w:pStyle w:val="NormalWeb"/>
        <w:rPr>
          <w:color w:val="000000"/>
          <w:sz w:val="27"/>
          <w:szCs w:val="27"/>
        </w:rPr>
      </w:pPr>
      <w:r>
        <w:rPr>
          <w:rFonts w:ascii="Arial" w:hAnsi="Arial" w:cs="Arial"/>
          <w:b/>
          <w:bCs/>
          <w:color w:val="000000"/>
          <w:sz w:val="27"/>
          <w:szCs w:val="27"/>
        </w:rPr>
        <w:t>Art. 100.-</w:t>
      </w:r>
      <w:r>
        <w:rPr>
          <w:rFonts w:ascii="Arial" w:hAnsi="Arial" w:cs="Arial"/>
          <w:color w:val="000000"/>
          <w:sz w:val="27"/>
          <w:szCs w:val="27"/>
        </w:rPr>
        <w:t> Los dignatarios de elección popular en ejercicio, que se candidaticen para la reelección, gozarán de licencia sin sueldo desde la fecha de inscripción de su candidatura.</w:t>
      </w:r>
    </w:p>
    <w:p w14:paraId="4B6E0FC7" w14:textId="77777777" w:rsidR="009F5D85" w:rsidRDefault="009F5D85" w:rsidP="009F5D85">
      <w:pPr>
        <w:pStyle w:val="NormalWeb"/>
        <w:rPr>
          <w:color w:val="000000"/>
          <w:sz w:val="27"/>
          <w:szCs w:val="27"/>
        </w:rPr>
      </w:pPr>
      <w:r>
        <w:rPr>
          <w:rFonts w:ascii="Arial" w:hAnsi="Arial" w:cs="Arial"/>
          <w:color w:val="000000"/>
          <w:sz w:val="27"/>
          <w:szCs w:val="27"/>
        </w:rPr>
        <w:t>Si presentaren su candidatura a una dignidad distinta, deberán renunciar al cargo, previamente a su inscripción.</w:t>
      </w:r>
    </w:p>
    <w:p w14:paraId="586019BC" w14:textId="77777777" w:rsidR="009F5D85" w:rsidRDefault="009F5D85" w:rsidP="009F5D85">
      <w:pPr>
        <w:pStyle w:val="NormalWeb"/>
        <w:rPr>
          <w:color w:val="000000"/>
          <w:sz w:val="27"/>
          <w:szCs w:val="27"/>
        </w:rPr>
      </w:pPr>
      <w:r>
        <w:rPr>
          <w:rFonts w:ascii="Arial" w:hAnsi="Arial" w:cs="Arial"/>
          <w:b/>
          <w:bCs/>
          <w:color w:val="000000"/>
          <w:sz w:val="27"/>
          <w:szCs w:val="27"/>
        </w:rPr>
        <w:t>Art. 101.-</w:t>
      </w:r>
      <w:r>
        <w:rPr>
          <w:rFonts w:ascii="Arial" w:hAnsi="Arial" w:cs="Arial"/>
          <w:color w:val="000000"/>
          <w:sz w:val="27"/>
          <w:szCs w:val="27"/>
        </w:rPr>
        <w:t> No podrán ser candidatos a dignidad alguna de elección popular:</w:t>
      </w:r>
    </w:p>
    <w:p w14:paraId="79C83655" w14:textId="77777777" w:rsidR="009F5D85" w:rsidRDefault="009F5D85" w:rsidP="009F5D85">
      <w:pPr>
        <w:pStyle w:val="NormalWeb"/>
        <w:rPr>
          <w:color w:val="000000"/>
          <w:sz w:val="27"/>
          <w:szCs w:val="27"/>
        </w:rPr>
      </w:pPr>
      <w:r>
        <w:rPr>
          <w:rFonts w:ascii="Arial" w:hAnsi="Arial" w:cs="Arial"/>
          <w:b/>
          <w:bCs/>
          <w:color w:val="000000"/>
          <w:sz w:val="27"/>
          <w:szCs w:val="27"/>
        </w:rPr>
        <w:t>1.</w:t>
      </w:r>
      <w:r>
        <w:rPr>
          <w:rFonts w:ascii="Arial" w:hAnsi="Arial" w:cs="Arial"/>
          <w:color w:val="000000"/>
          <w:sz w:val="27"/>
          <w:szCs w:val="27"/>
        </w:rPr>
        <w:t> Quienes, dentro de juicio penal por delitos sancionados con reclusión, hayan sido condenados o llamados a la etapa plenaria, salvo que en este segundo caso se haya dictado sentencia absolutoria.</w:t>
      </w:r>
    </w:p>
    <w:p w14:paraId="10D95072" w14:textId="77777777" w:rsidR="009F5D85" w:rsidRDefault="009F5D85" w:rsidP="009F5D85">
      <w:pPr>
        <w:pStyle w:val="NormalWeb"/>
        <w:rPr>
          <w:color w:val="000000"/>
          <w:sz w:val="27"/>
          <w:szCs w:val="27"/>
        </w:rPr>
      </w:pPr>
      <w:r>
        <w:rPr>
          <w:rFonts w:ascii="Arial" w:hAnsi="Arial" w:cs="Arial"/>
          <w:b/>
          <w:bCs/>
          <w:color w:val="000000"/>
          <w:sz w:val="27"/>
          <w:szCs w:val="27"/>
        </w:rPr>
        <w:t>2.</w:t>
      </w:r>
      <w:r>
        <w:rPr>
          <w:rFonts w:ascii="Arial" w:hAnsi="Arial" w:cs="Arial"/>
          <w:color w:val="000000"/>
          <w:sz w:val="27"/>
          <w:szCs w:val="27"/>
        </w:rPr>
        <w:t> Los funcionarios públicos de libre nombramiento y remoción, y los de período fijo, a menos que hayan renunciado con anterioridad a la fecha de la inscripción de su candidatura.</w:t>
      </w:r>
    </w:p>
    <w:p w14:paraId="7BEFD8BD" w14:textId="77777777" w:rsidR="009F5D85" w:rsidRDefault="009F5D85" w:rsidP="009F5D85">
      <w:pPr>
        <w:pStyle w:val="NormalWeb"/>
        <w:rPr>
          <w:color w:val="000000"/>
          <w:sz w:val="27"/>
          <w:szCs w:val="27"/>
        </w:rPr>
      </w:pPr>
      <w:r>
        <w:rPr>
          <w:rFonts w:ascii="Arial" w:hAnsi="Arial" w:cs="Arial"/>
          <w:color w:val="000000"/>
          <w:sz w:val="27"/>
          <w:szCs w:val="27"/>
        </w:rPr>
        <w:lastRenderedPageBreak/>
        <w:t>Los demás servidores públicos podrán ser candidatos y gozarán de licencia sin sueldo desde la fecha de inscripción de sus candidaturas; y de ser elegidos, mientras ejerzan sus funciones.</w:t>
      </w:r>
    </w:p>
    <w:p w14:paraId="3B5AB4C2" w14:textId="77777777" w:rsidR="009F5D85" w:rsidRDefault="009F5D85" w:rsidP="009F5D85">
      <w:pPr>
        <w:pStyle w:val="NormalWeb"/>
        <w:rPr>
          <w:color w:val="000000"/>
          <w:sz w:val="27"/>
          <w:szCs w:val="27"/>
        </w:rPr>
      </w:pPr>
      <w:r>
        <w:rPr>
          <w:rFonts w:ascii="Arial" w:hAnsi="Arial" w:cs="Arial"/>
          <w:color w:val="000000"/>
          <w:sz w:val="27"/>
          <w:szCs w:val="27"/>
        </w:rPr>
        <w:t>Los docentes universitarios no requerirán de licencia para ser candidatos y ejercer la dignidad.</w:t>
      </w:r>
    </w:p>
    <w:p w14:paraId="21D5581C" w14:textId="77777777" w:rsidR="009F5D85" w:rsidRDefault="009F5D85" w:rsidP="009F5D85">
      <w:pPr>
        <w:pStyle w:val="NormalWeb"/>
        <w:rPr>
          <w:color w:val="000000"/>
          <w:sz w:val="27"/>
          <w:szCs w:val="27"/>
        </w:rPr>
      </w:pPr>
      <w:r>
        <w:rPr>
          <w:rFonts w:ascii="Arial" w:hAnsi="Arial" w:cs="Arial"/>
          <w:b/>
          <w:bCs/>
          <w:color w:val="000000"/>
          <w:sz w:val="27"/>
          <w:szCs w:val="27"/>
        </w:rPr>
        <w:t>3.</w:t>
      </w:r>
      <w:r>
        <w:rPr>
          <w:rFonts w:ascii="Arial" w:hAnsi="Arial" w:cs="Arial"/>
          <w:color w:val="000000"/>
          <w:sz w:val="27"/>
          <w:szCs w:val="27"/>
        </w:rPr>
        <w:t> Los magistrados y jueces de la Función Judicial, a no ser que hayan renunciado a sus funciones seis meses antes de la fecha de inscripción de la respectiva candidatura.</w:t>
      </w:r>
    </w:p>
    <w:p w14:paraId="10A1F7A7" w14:textId="77777777" w:rsidR="009F5D85" w:rsidRDefault="009F5D85" w:rsidP="009F5D85">
      <w:pPr>
        <w:pStyle w:val="NormalWeb"/>
        <w:rPr>
          <w:color w:val="000000"/>
          <w:sz w:val="27"/>
          <w:szCs w:val="27"/>
        </w:rPr>
      </w:pPr>
      <w:r>
        <w:rPr>
          <w:rFonts w:ascii="Arial" w:hAnsi="Arial" w:cs="Arial"/>
          <w:b/>
          <w:bCs/>
          <w:color w:val="000000"/>
          <w:sz w:val="27"/>
          <w:szCs w:val="27"/>
        </w:rPr>
        <w:t>4.</w:t>
      </w:r>
      <w:r>
        <w:rPr>
          <w:rFonts w:ascii="Arial" w:hAnsi="Arial" w:cs="Arial"/>
          <w:color w:val="000000"/>
          <w:sz w:val="27"/>
          <w:szCs w:val="27"/>
        </w:rPr>
        <w:t> Los que hayan ejercido autoridad ejecutiva en gobiernos de facto.</w:t>
      </w:r>
    </w:p>
    <w:p w14:paraId="30A66E1A" w14:textId="77777777" w:rsidR="009F5D85" w:rsidRDefault="009F5D85" w:rsidP="009F5D85">
      <w:pPr>
        <w:pStyle w:val="NormalWeb"/>
        <w:rPr>
          <w:color w:val="000000"/>
          <w:sz w:val="27"/>
          <w:szCs w:val="27"/>
        </w:rPr>
      </w:pPr>
      <w:r>
        <w:rPr>
          <w:rFonts w:ascii="Arial" w:hAnsi="Arial" w:cs="Arial"/>
          <w:b/>
          <w:bCs/>
          <w:color w:val="000000"/>
          <w:sz w:val="27"/>
          <w:szCs w:val="27"/>
        </w:rPr>
        <w:t>5.</w:t>
      </w:r>
      <w:r>
        <w:rPr>
          <w:rFonts w:ascii="Arial" w:hAnsi="Arial" w:cs="Arial"/>
          <w:color w:val="000000"/>
          <w:sz w:val="27"/>
          <w:szCs w:val="27"/>
        </w:rPr>
        <w:t> Los miembros de la fuerza pública en servicio activo.</w:t>
      </w:r>
    </w:p>
    <w:p w14:paraId="7BDAAA44" w14:textId="77777777" w:rsidR="009F5D85" w:rsidRDefault="009F5D85" w:rsidP="009F5D85">
      <w:pPr>
        <w:pStyle w:val="NormalWeb"/>
        <w:rPr>
          <w:color w:val="000000"/>
          <w:sz w:val="27"/>
          <w:szCs w:val="27"/>
        </w:rPr>
      </w:pPr>
      <w:r>
        <w:rPr>
          <w:rFonts w:ascii="Arial" w:hAnsi="Arial" w:cs="Arial"/>
          <w:b/>
          <w:bCs/>
          <w:color w:val="000000"/>
          <w:sz w:val="27"/>
          <w:szCs w:val="27"/>
        </w:rPr>
        <w:t>6.</w:t>
      </w:r>
      <w:r>
        <w:rPr>
          <w:rFonts w:ascii="Arial" w:hAnsi="Arial" w:cs="Arial"/>
          <w:color w:val="000000"/>
          <w:sz w:val="27"/>
          <w:szCs w:val="27"/>
        </w:rPr>
        <w:t> Los que tengan contrato con el Estado, como personas naturales o como representantes o apoderados de personas jurídicas, nacionales o extranjeras, siempre que el contrato haya sido celebrado para la ejecución de obras públicas, prestación de servicios públicos o explotación de recursos naturales, mediante concesión, asociación o cualquier otra modalidad contractual.</w:t>
      </w:r>
    </w:p>
    <w:p w14:paraId="0EC2F635" w14:textId="77777777" w:rsidR="009F5D85" w:rsidRDefault="009F5D85" w:rsidP="009F5D85">
      <w:pPr>
        <w:pStyle w:val="NormalWeb"/>
        <w:rPr>
          <w:color w:val="000000"/>
          <w:sz w:val="27"/>
          <w:szCs w:val="27"/>
        </w:rPr>
      </w:pPr>
      <w:r>
        <w:rPr>
          <w:rFonts w:ascii="Arial" w:hAnsi="Arial" w:cs="Arial"/>
          <w:b/>
          <w:bCs/>
          <w:color w:val="000000"/>
          <w:sz w:val="27"/>
          <w:szCs w:val="27"/>
        </w:rPr>
        <w:t>Art. 102.-</w:t>
      </w:r>
      <w:r>
        <w:rPr>
          <w:rFonts w:ascii="Arial" w:hAnsi="Arial" w:cs="Arial"/>
          <w:color w:val="000000"/>
          <w:sz w:val="27"/>
          <w:szCs w:val="27"/>
        </w:rPr>
        <w:t> El Estado promoverá y garantizará la participación equitativa de mujeres y hombres como candidatos en los procesos de elección popular, en las instancias de dirección y decisión en el ámbito público, en la administración de justicia, en los organismos de control y en los partidos políticos.</w:t>
      </w:r>
    </w:p>
    <w:p w14:paraId="686BFA56" w14:textId="77777777" w:rsidR="009F5D85" w:rsidRDefault="009F5D85" w:rsidP="009F5D85">
      <w:pPr>
        <w:pStyle w:val="NormalWeb"/>
        <w:jc w:val="center"/>
        <w:rPr>
          <w:color w:val="000000"/>
          <w:sz w:val="27"/>
          <w:szCs w:val="27"/>
        </w:rPr>
      </w:pPr>
      <w:bookmarkStart w:id="1" w:name="2"/>
      <w:bookmarkEnd w:id="1"/>
      <w:r>
        <w:rPr>
          <w:rFonts w:ascii="Arial" w:hAnsi="Arial" w:cs="Arial"/>
          <w:b/>
          <w:bCs/>
          <w:color w:val="000000"/>
          <w:sz w:val="27"/>
          <w:szCs w:val="27"/>
        </w:rPr>
        <w:t>Capítulo 2</w:t>
      </w:r>
      <w:r>
        <w:rPr>
          <w:rFonts w:ascii="Arial" w:hAnsi="Arial" w:cs="Arial"/>
          <w:b/>
          <w:bCs/>
          <w:color w:val="000000"/>
          <w:sz w:val="27"/>
          <w:szCs w:val="27"/>
        </w:rPr>
        <w:br/>
        <w:t>De otras formas de participación democrática</w:t>
      </w:r>
    </w:p>
    <w:p w14:paraId="116FA018" w14:textId="77777777" w:rsidR="009F5D85" w:rsidRDefault="009F5D85" w:rsidP="009F5D85">
      <w:pPr>
        <w:pStyle w:val="NormalWeb"/>
        <w:jc w:val="center"/>
        <w:rPr>
          <w:color w:val="000000"/>
          <w:sz w:val="27"/>
          <w:szCs w:val="27"/>
        </w:rPr>
      </w:pPr>
      <w:bookmarkStart w:id="2" w:name="21"/>
      <w:bookmarkEnd w:id="2"/>
      <w:r>
        <w:rPr>
          <w:rFonts w:ascii="Arial" w:hAnsi="Arial" w:cs="Arial"/>
          <w:b/>
          <w:bCs/>
          <w:color w:val="000000"/>
          <w:sz w:val="27"/>
          <w:szCs w:val="27"/>
        </w:rPr>
        <w:t>Sección primera</w:t>
      </w:r>
      <w:r>
        <w:rPr>
          <w:rFonts w:ascii="Arial" w:hAnsi="Arial" w:cs="Arial"/>
          <w:b/>
          <w:bCs/>
          <w:color w:val="000000"/>
          <w:sz w:val="27"/>
          <w:szCs w:val="27"/>
        </w:rPr>
        <w:br/>
        <w:t>De la consulta popular</w:t>
      </w:r>
    </w:p>
    <w:p w14:paraId="025D6CF3" w14:textId="77777777" w:rsidR="009F5D85" w:rsidRDefault="009F5D85" w:rsidP="009F5D85">
      <w:pPr>
        <w:pStyle w:val="NormalWeb"/>
        <w:rPr>
          <w:color w:val="000000"/>
          <w:sz w:val="27"/>
          <w:szCs w:val="27"/>
        </w:rPr>
      </w:pPr>
      <w:r>
        <w:rPr>
          <w:rFonts w:ascii="Arial" w:hAnsi="Arial" w:cs="Arial"/>
          <w:b/>
          <w:bCs/>
          <w:color w:val="000000"/>
          <w:sz w:val="27"/>
          <w:szCs w:val="27"/>
        </w:rPr>
        <w:t>Art. 103.-</w:t>
      </w:r>
      <w:r>
        <w:rPr>
          <w:rFonts w:ascii="Arial" w:hAnsi="Arial" w:cs="Arial"/>
          <w:color w:val="000000"/>
          <w:sz w:val="27"/>
          <w:szCs w:val="27"/>
        </w:rPr>
        <w:t> Se establece la consulta popular en los casos previstos por esta Constitución. La decisión adoptada será obligatoria si el pronunciamiento popular contare con el respaldo de la mayoría absoluta de votantes.</w:t>
      </w:r>
    </w:p>
    <w:p w14:paraId="55294A8B" w14:textId="77777777" w:rsidR="009F5D85" w:rsidRDefault="009F5D85" w:rsidP="009F5D85">
      <w:pPr>
        <w:pStyle w:val="NormalWeb"/>
        <w:rPr>
          <w:color w:val="000000"/>
          <w:sz w:val="27"/>
          <w:szCs w:val="27"/>
        </w:rPr>
      </w:pPr>
      <w:r>
        <w:rPr>
          <w:rFonts w:ascii="Arial" w:hAnsi="Arial" w:cs="Arial"/>
          <w:color w:val="000000"/>
          <w:sz w:val="27"/>
          <w:szCs w:val="27"/>
        </w:rPr>
        <w:t>El voto en la consulta popular será obligatorio en los términos previstos en la Constitución y en la ley.</w:t>
      </w:r>
    </w:p>
    <w:p w14:paraId="2C1D8D0B" w14:textId="77777777" w:rsidR="009F5D85" w:rsidRDefault="009F5D85" w:rsidP="009F5D85">
      <w:pPr>
        <w:pStyle w:val="NormalWeb"/>
        <w:rPr>
          <w:color w:val="000000"/>
          <w:sz w:val="27"/>
          <w:szCs w:val="27"/>
        </w:rPr>
      </w:pPr>
      <w:r>
        <w:rPr>
          <w:rFonts w:ascii="Arial" w:hAnsi="Arial" w:cs="Arial"/>
          <w:b/>
          <w:bCs/>
          <w:color w:val="000000"/>
          <w:sz w:val="27"/>
          <w:szCs w:val="27"/>
        </w:rPr>
        <w:t>Art. 104.-</w:t>
      </w:r>
      <w:r>
        <w:rPr>
          <w:rFonts w:ascii="Arial" w:hAnsi="Arial" w:cs="Arial"/>
          <w:color w:val="000000"/>
          <w:sz w:val="27"/>
          <w:szCs w:val="27"/>
        </w:rPr>
        <w:t> El Presidente de la República podrá convocar a consulta popular en los siguientes casos:</w:t>
      </w:r>
    </w:p>
    <w:p w14:paraId="04B8A19C" w14:textId="77777777" w:rsidR="009F5D85" w:rsidRDefault="009F5D85" w:rsidP="009F5D85">
      <w:pPr>
        <w:pStyle w:val="NormalWeb"/>
        <w:rPr>
          <w:color w:val="000000"/>
          <w:sz w:val="27"/>
          <w:szCs w:val="27"/>
        </w:rPr>
      </w:pPr>
      <w:r>
        <w:rPr>
          <w:rFonts w:ascii="Arial" w:hAnsi="Arial" w:cs="Arial"/>
          <w:b/>
          <w:bCs/>
          <w:color w:val="000000"/>
          <w:sz w:val="27"/>
          <w:szCs w:val="27"/>
        </w:rPr>
        <w:t>1.</w:t>
      </w:r>
      <w:r>
        <w:rPr>
          <w:rFonts w:ascii="Arial" w:hAnsi="Arial" w:cs="Arial"/>
          <w:color w:val="000000"/>
          <w:sz w:val="27"/>
          <w:szCs w:val="27"/>
        </w:rPr>
        <w:t> Para reformar la Constitución, según lo previsto en el Art. 283.</w:t>
      </w:r>
    </w:p>
    <w:p w14:paraId="3A1CA381" w14:textId="77777777" w:rsidR="009F5D85" w:rsidRDefault="009F5D85" w:rsidP="009F5D85">
      <w:pPr>
        <w:pStyle w:val="NormalWeb"/>
        <w:rPr>
          <w:color w:val="000000"/>
          <w:sz w:val="27"/>
          <w:szCs w:val="27"/>
        </w:rPr>
      </w:pPr>
      <w:r>
        <w:rPr>
          <w:rFonts w:ascii="Arial" w:hAnsi="Arial" w:cs="Arial"/>
          <w:b/>
          <w:bCs/>
          <w:color w:val="000000"/>
          <w:sz w:val="27"/>
          <w:szCs w:val="27"/>
        </w:rPr>
        <w:lastRenderedPageBreak/>
        <w:t>2.</w:t>
      </w:r>
      <w:r>
        <w:rPr>
          <w:rFonts w:ascii="Arial" w:hAnsi="Arial" w:cs="Arial"/>
          <w:color w:val="000000"/>
          <w:sz w:val="27"/>
          <w:szCs w:val="27"/>
        </w:rPr>
        <w:t> Cuando, a su juicio, se trate de cuestiones de trascendental importancia para el país, distintas de las previstas en el número anterior.</w:t>
      </w:r>
    </w:p>
    <w:p w14:paraId="77B970CA" w14:textId="77777777" w:rsidR="009F5D85" w:rsidRDefault="009F5D85" w:rsidP="009F5D85">
      <w:pPr>
        <w:pStyle w:val="NormalWeb"/>
        <w:rPr>
          <w:color w:val="000000"/>
          <w:sz w:val="27"/>
          <w:szCs w:val="27"/>
        </w:rPr>
      </w:pPr>
      <w:r>
        <w:rPr>
          <w:rFonts w:ascii="Arial" w:hAnsi="Arial" w:cs="Arial"/>
          <w:b/>
          <w:bCs/>
          <w:color w:val="000000"/>
          <w:sz w:val="27"/>
          <w:szCs w:val="27"/>
        </w:rPr>
        <w:t>Art. 105.-</w:t>
      </w:r>
      <w:r>
        <w:rPr>
          <w:rFonts w:ascii="Arial" w:hAnsi="Arial" w:cs="Arial"/>
          <w:color w:val="000000"/>
          <w:sz w:val="27"/>
          <w:szCs w:val="27"/>
        </w:rPr>
        <w:t> Los ciudadanos en goce de derechos políticos y que representen el ocho por ciento del padrón electoral nacional, podrán solicitar al Tribunal Supremo Electoral que convoque a consulta popular en asuntos de trascendental importancia para el país, que no sean reformas constitucionales. La ley regulará el ejercicio de este derecho</w:t>
      </w:r>
      <w:proofErr w:type="gramStart"/>
      <w:r>
        <w:rPr>
          <w:rFonts w:ascii="Arial" w:hAnsi="Arial" w:cs="Arial"/>
          <w:color w:val="000000"/>
          <w:sz w:val="27"/>
          <w:szCs w:val="27"/>
        </w:rPr>
        <w:t>. .</w:t>
      </w:r>
      <w:proofErr w:type="gramEnd"/>
      <w:r>
        <w:rPr>
          <w:rFonts w:ascii="Arial" w:hAnsi="Arial" w:cs="Arial"/>
          <w:color w:val="000000"/>
          <w:sz w:val="27"/>
          <w:szCs w:val="27"/>
        </w:rPr>
        <w:t xml:space="preserve"> Art. 106.- Cuando existan circunstancias de carácter trascendental atinentes a su comunidad, que justifiquen el pronunciamiento popular, los organismos del régimen seccional, con el voto favorable de las tres cuartas partes de sus integrantes, podrán resolver que se convoque a consulta popular a los ciudadanos de la correspondiente circunscripción territorial.</w:t>
      </w:r>
    </w:p>
    <w:p w14:paraId="2028E8ED" w14:textId="77777777" w:rsidR="009F5D85" w:rsidRDefault="009F5D85" w:rsidP="009F5D85">
      <w:pPr>
        <w:pStyle w:val="NormalWeb"/>
        <w:rPr>
          <w:color w:val="000000"/>
          <w:sz w:val="27"/>
          <w:szCs w:val="27"/>
        </w:rPr>
      </w:pPr>
      <w:r>
        <w:rPr>
          <w:rFonts w:ascii="Arial" w:hAnsi="Arial" w:cs="Arial"/>
          <w:color w:val="000000"/>
          <w:sz w:val="27"/>
          <w:szCs w:val="27"/>
        </w:rPr>
        <w:t>Podrán, asimismo, solicitar que se convoque a consulta popular, los ciudadanos en goce de derechos políticos y que representen por lo menos el veinte por ciento del número de empadronados en la correspondiente circunscripción.</w:t>
      </w:r>
    </w:p>
    <w:p w14:paraId="5C7C832B" w14:textId="77777777" w:rsidR="009F5D85" w:rsidRDefault="009F5D85" w:rsidP="009F5D85">
      <w:pPr>
        <w:pStyle w:val="NormalWeb"/>
        <w:rPr>
          <w:color w:val="000000"/>
          <w:sz w:val="27"/>
          <w:szCs w:val="27"/>
        </w:rPr>
      </w:pPr>
      <w:r>
        <w:rPr>
          <w:rFonts w:ascii="Arial" w:hAnsi="Arial" w:cs="Arial"/>
          <w:b/>
          <w:bCs/>
          <w:color w:val="000000"/>
          <w:sz w:val="27"/>
          <w:szCs w:val="27"/>
        </w:rPr>
        <w:t>Art. 107.-</w:t>
      </w:r>
      <w:r>
        <w:rPr>
          <w:rFonts w:ascii="Arial" w:hAnsi="Arial" w:cs="Arial"/>
          <w:color w:val="000000"/>
          <w:sz w:val="27"/>
          <w:szCs w:val="27"/>
        </w:rPr>
        <w:t> El Tribunal Provincial Electoral de la correspondiente circunscripción, una vez que haya comprobado el cumplimiento de los requisitos establecidos en estas normas y en la ley, procederá a hacer la correspondiente convocatoria.</w:t>
      </w:r>
    </w:p>
    <w:p w14:paraId="2FC0F5DE" w14:textId="77777777" w:rsidR="009F5D85" w:rsidRDefault="009F5D85" w:rsidP="009F5D85">
      <w:pPr>
        <w:pStyle w:val="NormalWeb"/>
        <w:rPr>
          <w:color w:val="000000"/>
          <w:sz w:val="27"/>
          <w:szCs w:val="27"/>
        </w:rPr>
      </w:pPr>
      <w:r>
        <w:rPr>
          <w:rFonts w:ascii="Arial" w:hAnsi="Arial" w:cs="Arial"/>
          <w:b/>
          <w:bCs/>
          <w:color w:val="000000"/>
          <w:sz w:val="27"/>
          <w:szCs w:val="27"/>
        </w:rPr>
        <w:t>Art. 108.-</w:t>
      </w:r>
      <w:r>
        <w:rPr>
          <w:rFonts w:ascii="Arial" w:hAnsi="Arial" w:cs="Arial"/>
          <w:color w:val="000000"/>
          <w:sz w:val="27"/>
          <w:szCs w:val="27"/>
        </w:rPr>
        <w:t> Los resultados de la consulta popular, luego de proclamados por el tribunal electoral correspondiente, se publicarán en el Registro Oficial dentro de los quince días subsiguientes.</w:t>
      </w:r>
    </w:p>
    <w:p w14:paraId="18A5190C" w14:textId="77777777" w:rsidR="009F5D85" w:rsidRDefault="009F5D85" w:rsidP="009F5D85">
      <w:pPr>
        <w:pStyle w:val="NormalWeb"/>
        <w:rPr>
          <w:color w:val="000000"/>
          <w:sz w:val="27"/>
          <w:szCs w:val="27"/>
        </w:rPr>
      </w:pPr>
      <w:r>
        <w:rPr>
          <w:rFonts w:ascii="Arial" w:hAnsi="Arial" w:cs="Arial"/>
          <w:color w:val="000000"/>
          <w:sz w:val="27"/>
          <w:szCs w:val="27"/>
        </w:rPr>
        <w:t>En ningún caso las consultas convocadas por iniciativas popular se efectuarán sobre asuntos tributarios.</w:t>
      </w:r>
    </w:p>
    <w:p w14:paraId="10BE9B35" w14:textId="77777777" w:rsidR="009F5D85" w:rsidRDefault="009F5D85" w:rsidP="009F5D85">
      <w:pPr>
        <w:pStyle w:val="NormalWeb"/>
        <w:jc w:val="center"/>
        <w:rPr>
          <w:color w:val="000000"/>
          <w:sz w:val="27"/>
          <w:szCs w:val="27"/>
        </w:rPr>
      </w:pPr>
      <w:bookmarkStart w:id="3" w:name="22"/>
      <w:bookmarkEnd w:id="3"/>
      <w:r>
        <w:rPr>
          <w:rFonts w:ascii="Arial" w:hAnsi="Arial" w:cs="Arial"/>
          <w:b/>
          <w:bCs/>
          <w:color w:val="000000"/>
          <w:sz w:val="27"/>
          <w:szCs w:val="27"/>
        </w:rPr>
        <w:t>Sección segunda</w:t>
      </w:r>
      <w:r>
        <w:rPr>
          <w:rFonts w:ascii="Arial" w:hAnsi="Arial" w:cs="Arial"/>
          <w:b/>
          <w:bCs/>
          <w:color w:val="000000"/>
          <w:sz w:val="27"/>
          <w:szCs w:val="27"/>
        </w:rPr>
        <w:br/>
        <w:t>De la revocatoria del mandato</w:t>
      </w:r>
    </w:p>
    <w:p w14:paraId="7B54FC6B" w14:textId="77777777" w:rsidR="009F5D85" w:rsidRDefault="009F5D85" w:rsidP="009F5D85">
      <w:pPr>
        <w:pStyle w:val="NormalWeb"/>
        <w:rPr>
          <w:color w:val="000000"/>
          <w:sz w:val="27"/>
          <w:szCs w:val="27"/>
        </w:rPr>
      </w:pPr>
      <w:r>
        <w:rPr>
          <w:rFonts w:ascii="Arial" w:hAnsi="Arial" w:cs="Arial"/>
          <w:b/>
          <w:bCs/>
          <w:color w:val="000000"/>
          <w:sz w:val="27"/>
          <w:szCs w:val="27"/>
        </w:rPr>
        <w:t>Art. 109.-</w:t>
      </w:r>
      <w:r>
        <w:rPr>
          <w:rFonts w:ascii="Arial" w:hAnsi="Arial" w:cs="Arial"/>
          <w:color w:val="000000"/>
          <w:sz w:val="27"/>
          <w:szCs w:val="27"/>
        </w:rPr>
        <w:t> Los ciudadanos tendrán derecho a resolver la revocatoria del mandato otorgado a los alcaldes, prefectos y diputados de su elección, por actos de corrupción o incumplimiento injustificado de su plan de trabajo.</w:t>
      </w:r>
    </w:p>
    <w:p w14:paraId="06648F9C" w14:textId="77777777" w:rsidR="009F5D85" w:rsidRDefault="009F5D85" w:rsidP="009F5D85">
      <w:pPr>
        <w:pStyle w:val="NormalWeb"/>
        <w:rPr>
          <w:color w:val="000000"/>
          <w:sz w:val="27"/>
          <w:szCs w:val="27"/>
        </w:rPr>
      </w:pPr>
      <w:r>
        <w:rPr>
          <w:rFonts w:ascii="Arial" w:hAnsi="Arial" w:cs="Arial"/>
          <w:color w:val="000000"/>
          <w:sz w:val="27"/>
          <w:szCs w:val="27"/>
        </w:rPr>
        <w:t>Cada uno de los candidatos a alcalde, prefecto o diputado, al inscribir su candidatura presentará su plan de trabajo ante el correspondiente tribunal electoral.</w:t>
      </w:r>
    </w:p>
    <w:p w14:paraId="5AE5F52A" w14:textId="77777777" w:rsidR="009F5D85" w:rsidRDefault="009F5D85" w:rsidP="009F5D85">
      <w:pPr>
        <w:pStyle w:val="NormalWeb"/>
        <w:rPr>
          <w:color w:val="000000"/>
          <w:sz w:val="27"/>
          <w:szCs w:val="27"/>
        </w:rPr>
      </w:pPr>
      <w:r>
        <w:rPr>
          <w:rFonts w:ascii="Arial" w:hAnsi="Arial" w:cs="Arial"/>
          <w:b/>
          <w:bCs/>
          <w:color w:val="000000"/>
          <w:sz w:val="27"/>
          <w:szCs w:val="27"/>
        </w:rPr>
        <w:lastRenderedPageBreak/>
        <w:t>Art. 110.-</w:t>
      </w:r>
      <w:r>
        <w:rPr>
          <w:rFonts w:ascii="Arial" w:hAnsi="Arial" w:cs="Arial"/>
          <w:color w:val="000000"/>
          <w:sz w:val="27"/>
          <w:szCs w:val="27"/>
        </w:rPr>
        <w:t> La iniciativa para la revocatoria del mandato la ejercerá un número de ciudadanos en goce de los derechos políticos, que represente por lo menos el treinta por ciento de los empadronados en la respectiva circunscripción territorial.</w:t>
      </w:r>
    </w:p>
    <w:p w14:paraId="42FB2D84" w14:textId="77777777" w:rsidR="009F5D85" w:rsidRDefault="009F5D85" w:rsidP="009F5D85">
      <w:pPr>
        <w:pStyle w:val="NormalWeb"/>
        <w:rPr>
          <w:color w:val="000000"/>
          <w:sz w:val="27"/>
          <w:szCs w:val="27"/>
        </w:rPr>
      </w:pPr>
      <w:r>
        <w:rPr>
          <w:rFonts w:ascii="Arial" w:hAnsi="Arial" w:cs="Arial"/>
          <w:color w:val="000000"/>
          <w:sz w:val="27"/>
          <w:szCs w:val="27"/>
        </w:rPr>
        <w:t>Una vez que el tribunal electoral verifique que la iniciativa cumple con los requisitos previstos en esta Constitución y en la ley, procederá a la convocatoria en los diez días inmediatamente posteriores a tal verificación. El acto electoral se realizará dentro de los treinta días subsiguientes a la convocatoria.</w:t>
      </w:r>
    </w:p>
    <w:p w14:paraId="390DF1F4" w14:textId="77777777" w:rsidR="009F5D85" w:rsidRDefault="009F5D85" w:rsidP="009F5D85">
      <w:pPr>
        <w:pStyle w:val="NormalWeb"/>
        <w:rPr>
          <w:color w:val="000000"/>
          <w:sz w:val="27"/>
          <w:szCs w:val="27"/>
        </w:rPr>
      </w:pPr>
      <w:r>
        <w:rPr>
          <w:rFonts w:ascii="Arial" w:hAnsi="Arial" w:cs="Arial"/>
          <w:b/>
          <w:bCs/>
          <w:color w:val="000000"/>
          <w:sz w:val="27"/>
          <w:szCs w:val="27"/>
        </w:rPr>
        <w:t>Art. 111.-</w:t>
      </w:r>
      <w:r>
        <w:rPr>
          <w:rFonts w:ascii="Arial" w:hAnsi="Arial" w:cs="Arial"/>
          <w:color w:val="000000"/>
          <w:sz w:val="27"/>
          <w:szCs w:val="27"/>
        </w:rPr>
        <w:t> Cuando se trate de actos de corrupción, la revocatoria podrá solicitarse en cualquier tiempo del período para el que fue elegido el dignatario. En los casos de incumplimiento del plan de trabajo, se podrá solicitar después de transcurrido el primero y antes del último año del ejercicio de sus funciones. En ambos casos, por una sola vez dentro del mismo período.</w:t>
      </w:r>
    </w:p>
    <w:p w14:paraId="6707DEAD" w14:textId="77777777" w:rsidR="009F5D85" w:rsidRDefault="009F5D85" w:rsidP="009F5D85">
      <w:pPr>
        <w:pStyle w:val="NormalWeb"/>
        <w:rPr>
          <w:color w:val="000000"/>
          <w:sz w:val="27"/>
          <w:szCs w:val="27"/>
        </w:rPr>
      </w:pPr>
      <w:r>
        <w:rPr>
          <w:rFonts w:ascii="Arial" w:hAnsi="Arial" w:cs="Arial"/>
          <w:b/>
          <w:bCs/>
          <w:color w:val="000000"/>
          <w:sz w:val="27"/>
          <w:szCs w:val="27"/>
        </w:rPr>
        <w:t>Art. 112.-</w:t>
      </w:r>
      <w:r>
        <w:rPr>
          <w:rFonts w:ascii="Arial" w:hAnsi="Arial" w:cs="Arial"/>
          <w:color w:val="000000"/>
          <w:sz w:val="27"/>
          <w:szCs w:val="27"/>
        </w:rPr>
        <w:t> En la consulta de revocatoria participarán obligatoriamente todos los ciudadanos que gocen de los derechos políticos. La decisión de revocatoria será obligatoria si existiere el pronunciamiento favorable de la mayoría absoluta de los sufragantes de la respectiva circunscripción territorial. Tendrá como efecto inmediato la cesación del funcionario, y la subrogación por quien le corresponda de acuerdo con la ley.</w:t>
      </w:r>
    </w:p>
    <w:p w14:paraId="33F6862A" w14:textId="77777777" w:rsidR="009F5D85" w:rsidRDefault="009F5D85" w:rsidP="009F5D85">
      <w:pPr>
        <w:pStyle w:val="NormalWeb"/>
        <w:rPr>
          <w:color w:val="000000"/>
          <w:sz w:val="27"/>
          <w:szCs w:val="27"/>
        </w:rPr>
      </w:pPr>
      <w:r>
        <w:rPr>
          <w:rFonts w:ascii="Arial" w:hAnsi="Arial" w:cs="Arial"/>
          <w:b/>
          <w:bCs/>
          <w:color w:val="000000"/>
          <w:sz w:val="27"/>
          <w:szCs w:val="27"/>
        </w:rPr>
        <w:t>Art. 113.-</w:t>
      </w:r>
      <w:r>
        <w:rPr>
          <w:rFonts w:ascii="Arial" w:hAnsi="Arial" w:cs="Arial"/>
          <w:color w:val="000000"/>
          <w:sz w:val="27"/>
          <w:szCs w:val="27"/>
        </w:rPr>
        <w:t> En los casos de consulta popular y revocatoria del mandato, el Tribunal Provincial Electoral de la correspondiente circunscripción, una vez que haya comprobado el cumplimiento de los requisitos establecidos en estas normas y en la ley, procederá a la convocatoria.</w:t>
      </w:r>
    </w:p>
    <w:p w14:paraId="1385C1A4" w14:textId="77777777" w:rsidR="009F5D85" w:rsidRDefault="009F5D85" w:rsidP="009F5D85">
      <w:pPr>
        <w:pStyle w:val="NormalWeb"/>
        <w:rPr>
          <w:color w:val="000000"/>
          <w:sz w:val="27"/>
          <w:szCs w:val="27"/>
        </w:rPr>
      </w:pPr>
      <w:r>
        <w:rPr>
          <w:rFonts w:ascii="Arial" w:hAnsi="Arial" w:cs="Arial"/>
          <w:color w:val="000000"/>
          <w:sz w:val="27"/>
          <w:szCs w:val="27"/>
        </w:rPr>
        <w:t>Los gastos que demanden la realización de la consulta o la revocatoria del mandato, se imputarán al presupuesto del correspondiente organismo seccional.</w:t>
      </w:r>
    </w:p>
    <w:p w14:paraId="0D6275E4" w14:textId="77777777" w:rsidR="009F5D85" w:rsidRDefault="009F5D85" w:rsidP="009F5D85">
      <w:pPr>
        <w:pStyle w:val="NormalWeb"/>
        <w:jc w:val="center"/>
        <w:rPr>
          <w:color w:val="000000"/>
          <w:sz w:val="27"/>
          <w:szCs w:val="27"/>
        </w:rPr>
      </w:pPr>
      <w:bookmarkStart w:id="4" w:name="3"/>
      <w:bookmarkEnd w:id="4"/>
      <w:r>
        <w:rPr>
          <w:rFonts w:ascii="Arial" w:hAnsi="Arial" w:cs="Arial"/>
          <w:b/>
          <w:bCs/>
          <w:color w:val="000000"/>
          <w:sz w:val="27"/>
          <w:szCs w:val="27"/>
        </w:rPr>
        <w:t>Capítulo 3</w:t>
      </w:r>
      <w:r>
        <w:rPr>
          <w:rFonts w:ascii="Arial" w:hAnsi="Arial" w:cs="Arial"/>
          <w:b/>
          <w:bCs/>
          <w:color w:val="000000"/>
          <w:sz w:val="27"/>
          <w:szCs w:val="27"/>
        </w:rPr>
        <w:br/>
        <w:t>De los partidos y movimientos políticos</w:t>
      </w:r>
    </w:p>
    <w:p w14:paraId="15515FFB" w14:textId="77777777" w:rsidR="009F5D85" w:rsidRDefault="009F5D85" w:rsidP="009F5D85">
      <w:pPr>
        <w:pStyle w:val="NormalWeb"/>
        <w:rPr>
          <w:color w:val="000000"/>
          <w:sz w:val="27"/>
          <w:szCs w:val="27"/>
        </w:rPr>
      </w:pPr>
      <w:r>
        <w:rPr>
          <w:rFonts w:ascii="Arial" w:hAnsi="Arial" w:cs="Arial"/>
          <w:b/>
          <w:bCs/>
          <w:color w:val="000000"/>
          <w:sz w:val="27"/>
          <w:szCs w:val="27"/>
        </w:rPr>
        <w:t>Art. 114.-</w:t>
      </w:r>
      <w:r>
        <w:rPr>
          <w:rFonts w:ascii="Arial" w:hAnsi="Arial" w:cs="Arial"/>
          <w:color w:val="000000"/>
          <w:sz w:val="27"/>
          <w:szCs w:val="27"/>
        </w:rPr>
        <w:t> Se garantizará el derecho a fundar partidos políticos y participar en ellos en las condiciones establecidas en la Ley. Los partidos políticos gozarán de la protección del Estado para su organización y funcionamiento.</w:t>
      </w:r>
    </w:p>
    <w:p w14:paraId="6DDBE3D7" w14:textId="77777777" w:rsidR="009F5D85" w:rsidRDefault="009F5D85" w:rsidP="009F5D85">
      <w:pPr>
        <w:pStyle w:val="NormalWeb"/>
        <w:rPr>
          <w:color w:val="000000"/>
          <w:sz w:val="27"/>
          <w:szCs w:val="27"/>
        </w:rPr>
      </w:pPr>
      <w:r>
        <w:rPr>
          <w:rFonts w:ascii="Arial" w:hAnsi="Arial" w:cs="Arial"/>
          <w:b/>
          <w:bCs/>
          <w:color w:val="000000"/>
          <w:sz w:val="27"/>
          <w:szCs w:val="27"/>
        </w:rPr>
        <w:t>Art. 115.-</w:t>
      </w:r>
      <w:r>
        <w:rPr>
          <w:rFonts w:ascii="Arial" w:hAnsi="Arial" w:cs="Arial"/>
          <w:color w:val="000000"/>
          <w:sz w:val="27"/>
          <w:szCs w:val="27"/>
        </w:rPr>
        <w:t xml:space="preserve"> Para que un partido político sea reconocido legalmente e intervenir en la vida pública del Estado, deberá sustentar principios </w:t>
      </w:r>
      <w:r>
        <w:rPr>
          <w:rFonts w:ascii="Arial" w:hAnsi="Arial" w:cs="Arial"/>
          <w:color w:val="000000"/>
          <w:sz w:val="27"/>
          <w:szCs w:val="27"/>
        </w:rPr>
        <w:lastRenderedPageBreak/>
        <w:t>doctrinarios que lo individualicen, presentar un programa de acción política en consonancia con el sistema democrático; estar organizado en el ámbito nacional y contar con el número de afiliados que exija la ley.</w:t>
      </w:r>
    </w:p>
    <w:p w14:paraId="27C0B022" w14:textId="77777777" w:rsidR="009F5D85" w:rsidRDefault="009F5D85" w:rsidP="009F5D85">
      <w:pPr>
        <w:pStyle w:val="NormalWeb"/>
        <w:rPr>
          <w:color w:val="000000"/>
          <w:sz w:val="27"/>
          <w:szCs w:val="27"/>
        </w:rPr>
      </w:pPr>
      <w:r>
        <w:rPr>
          <w:rFonts w:ascii="Arial" w:hAnsi="Arial" w:cs="Arial"/>
          <w:color w:val="000000"/>
          <w:sz w:val="27"/>
          <w:szCs w:val="27"/>
        </w:rPr>
        <w:t xml:space="preserve">El partido o movimiento político </w:t>
      </w:r>
      <w:proofErr w:type="gramStart"/>
      <w:r>
        <w:rPr>
          <w:rFonts w:ascii="Arial" w:hAnsi="Arial" w:cs="Arial"/>
          <w:color w:val="000000"/>
          <w:sz w:val="27"/>
          <w:szCs w:val="27"/>
        </w:rPr>
        <w:t>que</w:t>
      </w:r>
      <w:proofErr w:type="gramEnd"/>
      <w:r>
        <w:rPr>
          <w:rFonts w:ascii="Arial" w:hAnsi="Arial" w:cs="Arial"/>
          <w:color w:val="000000"/>
          <w:sz w:val="27"/>
          <w:szCs w:val="27"/>
        </w:rPr>
        <w:t xml:space="preserve"> en dos elecciones pluripersonales nacionales sucesivas, no obtenga el porcentaje mínimo del cinco por ciento de los votos válidos, quedará eliminado del registro electoral.</w:t>
      </w:r>
    </w:p>
    <w:p w14:paraId="2631DA1A" w14:textId="77777777" w:rsidR="009F5D85" w:rsidRDefault="009F5D85" w:rsidP="009F5D85">
      <w:pPr>
        <w:pStyle w:val="NormalWeb"/>
        <w:rPr>
          <w:color w:val="000000"/>
          <w:sz w:val="27"/>
          <w:szCs w:val="27"/>
        </w:rPr>
      </w:pPr>
      <w:r>
        <w:rPr>
          <w:rFonts w:ascii="Arial" w:hAnsi="Arial" w:cs="Arial"/>
          <w:b/>
          <w:bCs/>
          <w:color w:val="000000"/>
          <w:sz w:val="27"/>
          <w:szCs w:val="27"/>
        </w:rPr>
        <w:t>Art. 116.-</w:t>
      </w:r>
      <w:r>
        <w:rPr>
          <w:rFonts w:ascii="Arial" w:hAnsi="Arial" w:cs="Arial"/>
          <w:color w:val="000000"/>
          <w:sz w:val="27"/>
          <w:szCs w:val="27"/>
        </w:rPr>
        <w:t> La ley fijará los límites de los gastos electorales. Los partidos políticos, movimientos, organizaciones y candidatos independientes, rendirán cuentas ante el Tribunal Supremo Electoral sobre el monto, origen y destino de los recursos que utilicen en las campañas electorales.</w:t>
      </w:r>
    </w:p>
    <w:p w14:paraId="6188D170" w14:textId="77777777" w:rsidR="009F5D85" w:rsidRDefault="009F5D85" w:rsidP="009F5D85">
      <w:pPr>
        <w:pStyle w:val="NormalWeb"/>
        <w:rPr>
          <w:color w:val="000000"/>
          <w:sz w:val="27"/>
          <w:szCs w:val="27"/>
        </w:rPr>
      </w:pPr>
      <w:r>
        <w:rPr>
          <w:rFonts w:ascii="Arial" w:hAnsi="Arial" w:cs="Arial"/>
          <w:color w:val="000000"/>
          <w:sz w:val="27"/>
          <w:szCs w:val="27"/>
        </w:rPr>
        <w:t xml:space="preserve">La publicidad electoral a través de los medios de comunicación </w:t>
      </w:r>
      <w:proofErr w:type="gramStart"/>
      <w:r>
        <w:rPr>
          <w:rFonts w:ascii="Arial" w:hAnsi="Arial" w:cs="Arial"/>
          <w:color w:val="000000"/>
          <w:sz w:val="27"/>
          <w:szCs w:val="27"/>
        </w:rPr>
        <w:t>colectiva,</w:t>
      </w:r>
      <w:proofErr w:type="gramEnd"/>
      <w:r>
        <w:rPr>
          <w:rFonts w:ascii="Arial" w:hAnsi="Arial" w:cs="Arial"/>
          <w:color w:val="000000"/>
          <w:sz w:val="27"/>
          <w:szCs w:val="27"/>
        </w:rPr>
        <w:t xml:space="preserve"> solo podrá realizarse durante los cuarenta y cinco días inmediatamente anteriores a la fecha de cierre de la campaña electoral.</w:t>
      </w:r>
    </w:p>
    <w:p w14:paraId="58D7A627" w14:textId="77777777" w:rsidR="009F5D85" w:rsidRDefault="009F5D85" w:rsidP="009F5D85">
      <w:pPr>
        <w:pStyle w:val="NormalWeb"/>
        <w:rPr>
          <w:color w:val="000000"/>
          <w:sz w:val="27"/>
          <w:szCs w:val="27"/>
        </w:rPr>
      </w:pPr>
      <w:r>
        <w:rPr>
          <w:rFonts w:ascii="Arial" w:hAnsi="Arial" w:cs="Arial"/>
          <w:color w:val="000000"/>
          <w:sz w:val="27"/>
          <w:szCs w:val="27"/>
        </w:rPr>
        <w:t>La ley sancionará el incumplimiento de estas disposiciones.</w:t>
      </w:r>
    </w:p>
    <w:p w14:paraId="640E18A8" w14:textId="77777777" w:rsidR="009F5D85" w:rsidRDefault="009F5D85" w:rsidP="009F5D85">
      <w:pPr>
        <w:pStyle w:val="NormalWeb"/>
        <w:jc w:val="center"/>
        <w:rPr>
          <w:color w:val="000000"/>
          <w:sz w:val="27"/>
          <w:szCs w:val="27"/>
        </w:rPr>
      </w:pPr>
      <w:bookmarkStart w:id="5" w:name="4"/>
      <w:bookmarkEnd w:id="5"/>
      <w:r>
        <w:rPr>
          <w:rFonts w:ascii="Arial" w:hAnsi="Arial" w:cs="Arial"/>
          <w:b/>
          <w:bCs/>
          <w:color w:val="000000"/>
          <w:sz w:val="27"/>
          <w:szCs w:val="27"/>
        </w:rPr>
        <w:t>Capítulo 4</w:t>
      </w:r>
      <w:r>
        <w:rPr>
          <w:rFonts w:ascii="Arial" w:hAnsi="Arial" w:cs="Arial"/>
          <w:b/>
          <w:bCs/>
          <w:color w:val="000000"/>
          <w:sz w:val="27"/>
          <w:szCs w:val="27"/>
        </w:rPr>
        <w:br/>
        <w:t>Del estatuto de la oposición</w:t>
      </w:r>
    </w:p>
    <w:p w14:paraId="0BD4D3DB" w14:textId="77777777" w:rsidR="009F5D85" w:rsidRDefault="009F5D85" w:rsidP="009F5D85">
      <w:pPr>
        <w:pStyle w:val="NormalWeb"/>
        <w:rPr>
          <w:color w:val="000000"/>
          <w:sz w:val="27"/>
          <w:szCs w:val="27"/>
        </w:rPr>
      </w:pPr>
      <w:r>
        <w:rPr>
          <w:rFonts w:ascii="Arial" w:hAnsi="Arial" w:cs="Arial"/>
          <w:b/>
          <w:bCs/>
          <w:color w:val="000000"/>
          <w:sz w:val="27"/>
          <w:szCs w:val="27"/>
        </w:rPr>
        <w:t>Art. 117.-</w:t>
      </w:r>
      <w:r>
        <w:rPr>
          <w:rFonts w:ascii="Arial" w:hAnsi="Arial" w:cs="Arial"/>
          <w:color w:val="000000"/>
          <w:sz w:val="27"/>
          <w:szCs w:val="27"/>
        </w:rPr>
        <w:t> Los partidos y movimientos políticos que no participen del gobierno, tendrán plenas garantías para ejercer, dentro de la Constitución y la ley, una oposición crítica, y proponer alternativas sobre políticas gubernamentales. La ley regulará este derecho.</w:t>
      </w:r>
    </w:p>
    <w:p w14:paraId="1C39530A" w14:textId="77777777" w:rsidR="009F5D85" w:rsidRDefault="009F5D85"/>
    <w:sectPr w:rsidR="009F5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85"/>
    <w:rsid w:val="009F5D8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7383"/>
  <w15:chartTrackingRefBased/>
  <w15:docId w15:val="{68858A56-EC7F-48CF-8227-B4B9E77C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5D85"/>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65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1388</Words>
  <Characters>7637</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jenny.alcivar.guerra@gmail.com</dc:creator>
  <cp:keywords/>
  <dc:description/>
  <cp:lastModifiedBy>jenny.alcivar.guerra@gmail.com</cp:lastModifiedBy>
  <cp:revision>1</cp:revision>
  <dcterms:created xsi:type="dcterms:W3CDTF">2020-09-16T23:32:00Z</dcterms:created>
  <dcterms:modified xsi:type="dcterms:W3CDTF">2020-09-16T23:33:00Z</dcterms:modified>
</cp:coreProperties>
</file>