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2EB4" w14:textId="77777777" w:rsidR="002A3BEB" w:rsidRDefault="00000000">
      <w:pPr>
        <w:spacing w:after="80"/>
        <w:jc w:val="center"/>
      </w:pPr>
      <w:r>
        <w:rPr>
          <w:b/>
          <w:bCs/>
          <w:sz w:val="32"/>
          <w:szCs w:val="32"/>
        </w:rPr>
        <w:t>PROJECT OVERVIEW AND OBJECTIVES</w:t>
      </w:r>
    </w:p>
    <w:p w14:paraId="0866645E" w14:textId="77777777" w:rsidR="002A3BEB" w:rsidRDefault="00000000">
      <w:pPr>
        <w:spacing w:after="60"/>
        <w:jc w:val="center"/>
      </w:pPr>
      <w:r>
        <w:rPr>
          <w:i/>
          <w:iCs/>
          <w:sz w:val="24"/>
          <w:szCs w:val="24"/>
        </w:rPr>
        <w:t>Intelligent Power Transformer Fault Diagnosis Using Dissolved Gas Analysis and Machine Learning: An Integrated MATLAB/Simulink–Python Framework</w:t>
      </w:r>
    </w:p>
    <w:p w14:paraId="5B252DBC" w14:textId="77777777" w:rsidR="002A3BEB" w:rsidRDefault="00000000">
      <w:pPr>
        <w:spacing w:after="320"/>
        <w:jc w:val="center"/>
      </w:pPr>
      <w:r>
        <w:rPr>
          <w:color w:val="555555"/>
        </w:rPr>
        <w:t>Justice — BSc Electrical and Electronic Engineering, University of Mines and Technology (UMaT), Tarkwa</w:t>
      </w:r>
    </w:p>
    <w:p w14:paraId="3C5858FE" w14:textId="77777777" w:rsidR="002A3BEB" w:rsidRDefault="00000000">
      <w:pPr>
        <w:pStyle w:val="Heading1"/>
        <w:spacing w:before="280" w:after="140"/>
      </w:pPr>
      <w:r>
        <w:t>1. Background and Need</w:t>
      </w:r>
    </w:p>
    <w:p w14:paraId="245ADDFE" w14:textId="77777777" w:rsidR="002A3BEB" w:rsidRDefault="00000000">
      <w:pPr>
        <w:spacing w:after="160"/>
        <w:jc w:val="both"/>
      </w:pPr>
      <w:r>
        <w:t>Power transformers are among the most critical and capital-intensive assets in electrical transmission and distribution networks. Undetected incipient faults — partial discharge, low- and high-energy discharge, thermal faults, and arcing — can escalate into catastrophic failures, producing costly unplanned outages, safety hazards, and expensive replacement or repair.</w:t>
      </w:r>
    </w:p>
    <w:p w14:paraId="4D032B52" w14:textId="77777777" w:rsidR="002A3BEB" w:rsidRDefault="00000000">
      <w:pPr>
        <w:spacing w:after="160"/>
        <w:jc w:val="both"/>
      </w:pPr>
      <w:r>
        <w:t>Dissolved Gas Analysis (DGA) is the internationally recognized diagnostic technique (IEC 60599, IEEE C57.104) for detecting such faults from gases dissolved in transformer insulating oil. However, conventional interpretation methods — the Rogers Ratio, IEC Ratio, Duval Triangle, and Doernenburg Ratio — rely on fixed threshold and ratio rules derived from limited historical datasets. These methods frequently produce inconclusive or borderline classifications and can disagree with one another on the same sample.</w:t>
      </w:r>
    </w:p>
    <w:p w14:paraId="0DA1BEA9" w14:textId="77777777" w:rsidR="002A3BEB" w:rsidRDefault="00000000">
      <w:pPr>
        <w:spacing w:after="160"/>
        <w:jc w:val="both"/>
      </w:pPr>
      <w:r>
        <w:t>A further, practically important gap exists: many field-deployable online DGA monitors measure only a reduced subset of gases (commonly omitting C₂H₆ and/or CO₂) due to sensor cost and technology constraints, yet conventional interpretation standards were designed assuming the full gas panel. Whether data-driven diagnosis can close this gap is largely underexplored in the literature.</w:t>
      </w:r>
    </w:p>
    <w:p w14:paraId="111C1305" w14:textId="77777777" w:rsidR="002A3BEB" w:rsidRDefault="00000000">
      <w:pPr>
        <w:pStyle w:val="Heading1"/>
        <w:spacing w:before="280" w:after="140"/>
      </w:pPr>
      <w:r>
        <w:t>2. Problem Statement / Research Gap</w:t>
      </w:r>
    </w:p>
    <w:p w14:paraId="7D124E13" w14:textId="77777777" w:rsidR="002A3BEB" w:rsidRDefault="00000000">
      <w:pPr>
        <w:spacing w:after="160"/>
        <w:jc w:val="both"/>
      </w:pPr>
      <w:r>
        <w:rPr>
          <w:b/>
          <w:bCs/>
        </w:rPr>
        <w:t>Can machine learning models trained on full dissolved-gas panels retain acceptable diagnostic accuracy when restricted to reduced, field-realistic gas subsets — and how does that accuracy compare with conventional DGA interpretation standards evaluated on the same data?</w:t>
      </w:r>
    </w:p>
    <w:p w14:paraId="424A3600" w14:textId="77777777" w:rsidR="002A3BEB" w:rsidRDefault="00000000">
      <w:pPr>
        <w:pStyle w:val="Heading1"/>
        <w:spacing w:before="280" w:after="140"/>
      </w:pPr>
      <w:r>
        <w:t>3. Aim</w:t>
      </w:r>
    </w:p>
    <w:p w14:paraId="340664A9" w14:textId="77777777" w:rsidR="002A3BEB" w:rsidRDefault="00000000">
      <w:pPr>
        <w:spacing w:after="160"/>
        <w:jc w:val="both"/>
      </w:pPr>
      <w:r>
        <w:t>To develop, validate, and benchmark a machine-learning-based diagnostic framework for power transformer incipient-fault classification using Dissolved Gas Analysis — explicitly evaluating performance under both full and reduced gas-subset conditions — and to demonstrate the framework's practical applicability through an integrated MATLAB/Simulink–Python engineering architecture.</w:t>
      </w:r>
    </w:p>
    <w:p w14:paraId="745065E2" w14:textId="77777777" w:rsidR="002A3BEB" w:rsidRDefault="00000000">
      <w:pPr>
        <w:pStyle w:val="Heading1"/>
        <w:spacing w:before="280" w:after="140"/>
      </w:pPr>
      <w:r>
        <w:t>4. Specific Objectives</w:t>
      </w:r>
    </w:p>
    <w:p w14:paraId="4B617BAC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commentRangeStart w:id="0"/>
      <w:r>
        <w:t>Review and critically evaluate conventional DGA interpretation standards (IEC 60599, Rogers Ratio, Doernenburg Ratio, Duval Triangle) to establish quantitative accuracy and limitation benchmarks.</w:t>
      </w:r>
      <w:commentRangeEnd w:id="0"/>
      <w:r w:rsidR="002E230B">
        <w:rPr>
          <w:rStyle w:val="CommentReference"/>
          <w:sz w:val="20"/>
          <w:szCs w:val="20"/>
        </w:rPr>
        <w:commentReference w:id="0"/>
      </w:r>
    </w:p>
    <w:p w14:paraId="75D256F7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commentRangeStart w:id="1"/>
      <w:r>
        <w:t>Source and preprocess a validated DGA dataset with independently confirmed fault labels, applying missing-value handling, outlier treatment, feature scaling, and class-balancing — with scaling fitted only on training data to prevent leakage.</w:t>
      </w:r>
      <w:commentRangeEnd w:id="1"/>
      <w:r w:rsidR="002E230B">
        <w:rPr>
          <w:rStyle w:val="CommentReference"/>
          <w:sz w:val="20"/>
          <w:szCs w:val="20"/>
        </w:rPr>
        <w:commentReference w:id="1"/>
      </w:r>
    </w:p>
    <w:p w14:paraId="215F27A3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r>
        <w:t>Engineer diagnostic features from raw gas concentrations, including established diagnostic gas ratios, and select features using statistically justified techniques.</w:t>
      </w:r>
    </w:p>
    <w:p w14:paraId="5A804CE3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r>
        <w:t>Design, train, and evaluate multiple supervised classifiers (</w:t>
      </w:r>
      <w:commentRangeStart w:id="2"/>
      <w:r>
        <w:t>SVM, Random Forest, XGBoost, ANN</w:t>
      </w:r>
      <w:commentRangeEnd w:id="2"/>
      <w:r w:rsidR="002E230B">
        <w:rPr>
          <w:rStyle w:val="CommentReference"/>
          <w:sz w:val="20"/>
          <w:szCs w:val="20"/>
        </w:rPr>
        <w:commentReference w:id="2"/>
      </w:r>
      <w:r>
        <w:t>) using stratified k-fold cross-validation, reporting accuracy, precision, recall, F1-score and confidence intervals per fault class.</w:t>
      </w:r>
    </w:p>
    <w:p w14:paraId="071294E8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r>
        <w:t>Systematically evaluate classifier performance under progressively reduced gas subsets (removing one or more gases at a time) to determine the minimum gas panel that preserves acceptable diagnostic accuracy.</w:t>
      </w:r>
    </w:p>
    <w:p w14:paraId="6EE74618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r>
        <w:t>Benchmark the best-performing ML model directly against the conventional methods from Objective 1, on the same held-out test data.</w:t>
      </w:r>
    </w:p>
    <w:p w14:paraId="3979014D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Develop a REST API (FastAPI) serving the validated model with a locked, versioned preprocessing pipeline to guarantee training–inference consistency.</w:t>
      </w:r>
    </w:p>
    <w:p w14:paraId="7233C71A" w14:textId="77777777" w:rsidR="002A3BEB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Develop a MATLAB client — including an illustrative Simulink transformer model providing electrical operating context (voltage, current, load, temperature) — that consumes the API, explicitly without using Simulink to generate or infer gas concentrations unless independently </w:t>
      </w:r>
      <w:commentRangeStart w:id="3"/>
      <w:r>
        <w:t>validated against a peer-reviewed gas-generation model.</w:t>
      </w:r>
      <w:commentRangeEnd w:id="3"/>
      <w:r w:rsidR="002E230B">
        <w:rPr>
          <w:rStyle w:val="CommentReference"/>
          <w:sz w:val="20"/>
          <w:szCs w:val="20"/>
        </w:rPr>
        <w:commentReference w:id="3"/>
      </w:r>
    </w:p>
    <w:p w14:paraId="476A325F" w14:textId="77777777" w:rsidR="002A3BEB" w:rsidRDefault="00000000">
      <w:pPr>
        <w:pStyle w:val="Heading1"/>
        <w:spacing w:before="280" w:after="140"/>
      </w:pPr>
      <w:r>
        <w:t>5. Scope and Boundaries</w:t>
      </w:r>
    </w:p>
    <w:p w14:paraId="501B3F27" w14:textId="77777777" w:rsidR="002A3BEB" w:rsidRDefault="00000000">
      <w:pPr>
        <w:spacing w:before="160" w:after="80"/>
      </w:pPr>
      <w:r>
        <w:rPr>
          <w:b/>
          <w:bCs/>
          <w:i/>
          <w:iCs/>
          <w:sz w:val="22"/>
          <w:szCs w:val="22"/>
        </w:rPr>
        <w:t>Core scope (the research the thesis is judged on)</w:t>
      </w:r>
    </w:p>
    <w:p w14:paraId="40529070" w14:textId="77777777" w:rsidR="002A3BEB" w:rsidRDefault="00000000">
      <w:pPr>
        <w:spacing w:after="160"/>
        <w:jc w:val="both"/>
      </w:pPr>
      <w:r>
        <w:t xml:space="preserve">Objectives 1–7: the </w:t>
      </w:r>
      <w:commentRangeStart w:id="4"/>
      <w:r>
        <w:t>DGA data-science and machine-learning diagnostic framework, including the reduced-gas-subset investigation and the benchmark against conventional methods. This is the deliverable that must be completed to a rigorous standard.</w:t>
      </w:r>
      <w:commentRangeEnd w:id="4"/>
      <w:r w:rsidR="002E230B">
        <w:rPr>
          <w:rStyle w:val="CommentReference"/>
          <w:sz w:val="20"/>
          <w:szCs w:val="20"/>
        </w:rPr>
        <w:commentReference w:id="4"/>
      </w:r>
    </w:p>
    <w:p w14:paraId="3A7BE74A" w14:textId="77777777" w:rsidR="002A3BEB" w:rsidRDefault="00000000">
      <w:pPr>
        <w:spacing w:before="160" w:after="80"/>
      </w:pPr>
      <w:commentRangeStart w:id="5"/>
      <w:r>
        <w:rPr>
          <w:b/>
          <w:bCs/>
          <w:i/>
          <w:iCs/>
          <w:sz w:val="22"/>
          <w:szCs w:val="22"/>
        </w:rPr>
        <w:t>Extension / demonstration scope</w:t>
      </w:r>
    </w:p>
    <w:p w14:paraId="3E64CA1D" w14:textId="77777777" w:rsidR="002A3BEB" w:rsidRDefault="00000000">
      <w:pPr>
        <w:spacing w:after="160"/>
        <w:jc w:val="both"/>
      </w:pPr>
      <w:r>
        <w:t>Objective 8: the MATLAB/Simulink integration and client dashboard. This has genuine engineering and demonstration value for the client-facing deliverable, but it is not the basis on which the research contribution is judged — protecting the project timeline if integration work runs longer than planned.</w:t>
      </w:r>
      <w:commentRangeEnd w:id="5"/>
      <w:r w:rsidR="002E230B">
        <w:rPr>
          <w:rStyle w:val="CommentReference"/>
          <w:sz w:val="20"/>
          <w:szCs w:val="20"/>
        </w:rPr>
        <w:commentReference w:id="5"/>
      </w:r>
    </w:p>
    <w:p w14:paraId="3BAA9845" w14:textId="77777777" w:rsidR="002A3BEB" w:rsidRDefault="00000000">
      <w:pPr>
        <w:pStyle w:val="Heading1"/>
        <w:spacing w:before="280" w:after="140"/>
      </w:pPr>
      <w:r>
        <w:t>6. Significance</w:t>
      </w:r>
    </w:p>
    <w:p w14:paraId="1AA071D3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Gives utilities and asset managers a quantified basis for deciding between full laboratory gas chromatography and cheaper reduced-gas online monitors.</w:t>
      </w:r>
    </w:p>
    <w:p w14:paraId="183B6E91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Produces a reproducible, properly validated ML-vs-conventional-method benchmark — a comparison often asserted in the literature but rarely demonstrated with rigorous statistical validation.</w:t>
      </w:r>
    </w:p>
    <w:p w14:paraId="3B0D6C05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Delivers a working prototype diagnostic architecture (model + API + engineering client), not only an offline analysis notebook.</w:t>
      </w:r>
    </w:p>
    <w:p w14:paraId="0CF5D044" w14:textId="77777777" w:rsidR="002A3BEB" w:rsidRDefault="00000000">
      <w:pPr>
        <w:pStyle w:val="Heading1"/>
        <w:spacing w:before="280" w:after="140"/>
      </w:pPr>
      <w:r>
        <w:t>7. Methodological Safeguards</w:t>
      </w:r>
    </w:p>
    <w:p w14:paraId="4D436904" w14:textId="77777777" w:rsidR="002A3BEB" w:rsidRDefault="00000000">
      <w:pPr>
        <w:spacing w:after="160"/>
        <w:jc w:val="both"/>
      </w:pPr>
      <w:r>
        <w:t>The following safeguards are built into the methodology from the outset, to ensure the work withstands review scrutiny:</w:t>
      </w:r>
    </w:p>
    <w:p w14:paraId="2E208DA7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 xml:space="preserve">Ground-truth provenance will be explicitly documented — </w:t>
      </w:r>
      <w:commentRangeStart w:id="6"/>
      <w:r>
        <w:t xml:space="preserve">dataset fault labels must originate independently </w:t>
      </w:r>
      <w:commentRangeEnd w:id="6"/>
      <w:r w:rsidR="00B42CE4">
        <w:rPr>
          <w:rStyle w:val="CommentReference"/>
          <w:sz w:val="20"/>
          <w:szCs w:val="20"/>
        </w:rPr>
        <w:commentReference w:id="6"/>
      </w:r>
      <w:r>
        <w:t>of the conventional interpretation methods being benchmarked, to avoid circular validation.</w:t>
      </w:r>
    </w:p>
    <w:p w14:paraId="31E71949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Scaler and feature-selection parameters will be fitted only on training folds and applied unchanged to test data and live inference (no train/test leakage).</w:t>
      </w:r>
    </w:p>
    <w:p w14:paraId="09C1C24A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Model evaluation will use stratified k-fold cross-validation with reported confidence intervals — not a single train/test split — to responsibly handle the modest size of public DGA datasets.</w:t>
      </w:r>
    </w:p>
    <w:p w14:paraId="69475045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Reduced-gas-subset experiments will be run as controlled ablations on the same folds as the full-panel baseline, isolating gas availability as the only varying factor.</w:t>
      </w:r>
    </w:p>
    <w:p w14:paraId="6FDF5A87" w14:textId="77777777" w:rsidR="002A3BEB" w:rsidRDefault="00000000">
      <w:pPr>
        <w:pStyle w:val="ListParagraph"/>
        <w:numPr>
          <w:ilvl w:val="0"/>
          <w:numId w:val="3"/>
        </w:numPr>
        <w:spacing w:after="100"/>
      </w:pPr>
      <w:r>
        <w:t>The Simulink transformer model is explicitly scoped to provide electrical operating context only. It will not be used to generate or approximate gas-concentration data unless a literature-validated, citable gas-generation model is developed as a separate, clearly labeled extension.</w:t>
      </w:r>
    </w:p>
    <w:p w14:paraId="66A0E9B9" w14:textId="77777777" w:rsidR="002A3BEB" w:rsidRDefault="00000000">
      <w:pPr>
        <w:pStyle w:val="Heading1"/>
        <w:spacing w:before="280" w:after="140"/>
      </w:pPr>
      <w:r>
        <w:t>8. Anticipated Limitations and Mitigations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60"/>
      </w:tblGrid>
      <w:tr w:rsidR="002A3BEB" w14:paraId="74955C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</w:tcPr>
          <w:p w14:paraId="463341A3" w14:textId="77777777" w:rsidR="002A3BEB" w:rsidRDefault="00000000">
            <w:r>
              <w:rPr>
                <w:b/>
                <w:bCs/>
              </w:rPr>
              <w:t>Limitation</w:t>
            </w:r>
          </w:p>
        </w:tc>
        <w:tc>
          <w:tcPr>
            <w:tcW w:w="6760" w:type="dxa"/>
          </w:tcPr>
          <w:p w14:paraId="3769E57A" w14:textId="77777777" w:rsidR="002A3BEB" w:rsidRDefault="00000000">
            <w:r>
              <w:t>Mitigation</w:t>
            </w:r>
          </w:p>
        </w:tc>
      </w:tr>
      <w:tr w:rsidR="002A3BEB" w14:paraId="4F391C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02CDCA" w14:textId="77777777" w:rsidR="002A3BEB" w:rsidRDefault="00000000">
            <w:r>
              <w:rPr>
                <w:b/>
                <w:bCs/>
              </w:rPr>
              <w:t>Public DGA datasets are relatively small and class-imbalanced.</w:t>
            </w:r>
          </w:p>
        </w:tc>
        <w:tc>
          <w:tcPr>
            <w:tcW w:w="6760" w:type="dxa"/>
          </w:tcPr>
          <w:p w14:paraId="039D93BB" w14:textId="77777777" w:rsidR="002A3BEB" w:rsidRDefault="00000000">
            <w:r>
              <w:t>Stratified k-fold cross-validation, class-balancing techniques, and results reported with confidence intervals rather than single point-estimate accuracy.</w:t>
            </w:r>
          </w:p>
        </w:tc>
      </w:tr>
      <w:tr w:rsidR="002A3BEB" w14:paraId="6A2A0A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CF95530" w14:textId="77777777" w:rsidR="002A3BEB" w:rsidRDefault="00000000">
            <w:r>
              <w:rPr>
                <w:b/>
                <w:bCs/>
              </w:rPr>
              <w:t>Reduced-gas ablations could be confounded by other preprocessing choices.</w:t>
            </w:r>
          </w:p>
        </w:tc>
        <w:tc>
          <w:tcPr>
            <w:tcW w:w="6760" w:type="dxa"/>
          </w:tcPr>
          <w:p w14:paraId="6445F08C" w14:textId="77777777" w:rsidR="002A3BEB" w:rsidRDefault="00000000">
            <w:r>
              <w:t>Reduced-gas models trained and evaluated on identical folds/pipeline as the full-panel baseline, changing only gas availability.</w:t>
            </w:r>
          </w:p>
        </w:tc>
      </w:tr>
      <w:tr w:rsidR="002A3BEB" w14:paraId="6DAAB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9D20F63" w14:textId="77777777" w:rsidR="002A3BEB" w:rsidRDefault="00000000">
            <w:r>
              <w:rPr>
                <w:b/>
                <w:bCs/>
              </w:rPr>
              <w:lastRenderedPageBreak/>
              <w:t>Simulink/API integration is engineering work, not new diagnostic findings.</w:t>
            </w:r>
          </w:p>
        </w:tc>
        <w:tc>
          <w:tcPr>
            <w:tcW w:w="6760" w:type="dxa"/>
          </w:tcPr>
          <w:p w14:paraId="3AA52C8C" w14:textId="77777777" w:rsidR="002A3BEB" w:rsidRDefault="00000000">
            <w:r>
              <w:t>Explicitly scoped as an extension/demonstration layer (Section 5), not counted as the thesis's core contribution.</w:t>
            </w:r>
          </w:p>
        </w:tc>
      </w:tr>
      <w:tr w:rsidR="002A3BEB" w14:paraId="6096D8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9A2BC67" w14:textId="77777777" w:rsidR="002A3BEB" w:rsidRDefault="00000000">
            <w:r>
              <w:rPr>
                <w:b/>
                <w:bCs/>
              </w:rPr>
              <w:t>Risk of scope creep across three integrated subsystems.</w:t>
            </w:r>
          </w:p>
        </w:tc>
        <w:tc>
          <w:tcPr>
            <w:tcW w:w="6760" w:type="dxa"/>
          </w:tcPr>
          <w:p w14:paraId="03229410" w14:textId="77777777" w:rsidR="002A3BEB" w:rsidRDefault="00000000">
            <w:r>
              <w:t>Core deliverable (Objectives 1–7) is fully self-contained and defensible even if the MATLAB/Simulink extension is reduced in depth.</w:t>
            </w:r>
          </w:p>
        </w:tc>
      </w:tr>
    </w:tbl>
    <w:p w14:paraId="1604D973" w14:textId="77777777" w:rsidR="002A3BEB" w:rsidRDefault="002A3BEB">
      <w:pPr>
        <w:spacing w:after="200"/>
      </w:pPr>
    </w:p>
    <w:p w14:paraId="5316C9A6" w14:textId="77777777" w:rsidR="002A3BEB" w:rsidRDefault="00000000">
      <w:pPr>
        <w:pStyle w:val="Heading1"/>
        <w:spacing w:before="280" w:after="140"/>
      </w:pPr>
      <w:r>
        <w:t>9. Summary Statement</w:t>
      </w:r>
    </w:p>
    <w:p w14:paraId="2C42B9FA" w14:textId="77777777" w:rsidR="002A3BEB" w:rsidRDefault="00000000">
      <w:pPr>
        <w:spacing w:after="160"/>
        <w:jc w:val="both"/>
      </w:pPr>
      <w:r>
        <w:rPr>
          <w:i/>
          <w:iCs/>
        </w:rPr>
        <w:t>This project investigates whether machine learning can reliably diagnose incipient power-transformer faults from Dissolved Gas Analysis under realistic, reduced-gas-panel conditions, benchmarked rigorously against established conventional interpretation standards — and demonstrates the resulting model in a practical MATLAB/Simulink–Python engineering architecture, with an explicit, documented boundary between simulated electrical context and empirically sourced chemical diagnostic data.</w:t>
      </w:r>
    </w:p>
    <w:sectPr w:rsidR="002A3BE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las Asare" w:date="2026-09-16T13:27:00Z" w:initials="SA">
    <w:p w14:paraId="0866C347" w14:textId="77777777" w:rsidR="002E230B" w:rsidRDefault="002E230B" w:rsidP="002E230B">
      <w:pPr>
        <w:pStyle w:val="CommentText"/>
      </w:pPr>
      <w:r>
        <w:rPr>
          <w:rStyle w:val="CommentReference"/>
        </w:rPr>
        <w:annotationRef/>
      </w:r>
      <w:r>
        <w:t>You must do this before I start the simulation and the Ml model</w:t>
      </w:r>
    </w:p>
  </w:comment>
  <w:comment w:id="1" w:author="Silas Asare" w:date="2026-09-16T13:30:00Z" w:initials="SA">
    <w:p w14:paraId="60CA2BD0" w14:textId="77777777" w:rsidR="002E230B" w:rsidRDefault="002E230B" w:rsidP="002E230B">
      <w:pPr>
        <w:pStyle w:val="CommentText"/>
      </w:pPr>
      <w:r>
        <w:rPr>
          <w:rStyle w:val="CommentReference"/>
        </w:rPr>
        <w:annotationRef/>
      </w:r>
      <w:r>
        <w:t xml:space="preserve">You did not state where we will get the data set. </w:t>
      </w:r>
    </w:p>
  </w:comment>
  <w:comment w:id="2" w:author="Silas Asare" w:date="2026-09-16T13:29:00Z" w:initials="SA">
    <w:p w14:paraId="3F47EBDD" w14:textId="77777777" w:rsidR="002E230B" w:rsidRDefault="002E230B" w:rsidP="002E230B">
      <w:pPr>
        <w:pStyle w:val="CommentText"/>
      </w:pPr>
      <w:r>
        <w:rPr>
          <w:rStyle w:val="CommentReference"/>
        </w:rPr>
        <w:annotationRef/>
      </w:r>
      <w:r>
        <w:t>Let consider deep learning model. This will depend of the data set we ill get.</w:t>
      </w:r>
    </w:p>
  </w:comment>
  <w:comment w:id="3" w:author="Silas Asare" w:date="2026-09-16T13:26:00Z" w:initials="SA">
    <w:p w14:paraId="2A9583F3" w14:textId="77777777" w:rsidR="002E230B" w:rsidRDefault="002E230B" w:rsidP="002E230B">
      <w:pPr>
        <w:pStyle w:val="CommentText"/>
      </w:pPr>
      <w:r>
        <w:rPr>
          <w:rStyle w:val="CommentReference"/>
        </w:rPr>
        <w:annotationRef/>
      </w:r>
      <w:r>
        <w:t>What are you going to valibate it with any idea</w:t>
      </w:r>
    </w:p>
  </w:comment>
  <w:comment w:id="4" w:author="Silas Asare" w:date="2026-09-16T13:33:00Z" w:initials="SA">
    <w:p w14:paraId="26EB58C4" w14:textId="77777777" w:rsidR="002E230B" w:rsidRDefault="002E230B" w:rsidP="002E230B">
      <w:pPr>
        <w:pStyle w:val="CommentText"/>
      </w:pPr>
      <w:r>
        <w:rPr>
          <w:rStyle w:val="CommentReference"/>
        </w:rPr>
        <w:annotationRef/>
      </w:r>
      <w:r>
        <w:t>Explain the objectives into details and how we will do it or add an example or procedures or techniques we will be using.</w:t>
      </w:r>
    </w:p>
  </w:comment>
  <w:comment w:id="5" w:author="Silas Asare" w:date="2026-09-16T13:25:00Z" w:initials="SA">
    <w:p w14:paraId="2E79416A" w14:textId="77777777" w:rsidR="002E230B" w:rsidRDefault="002E230B" w:rsidP="002E230B">
      <w:pPr>
        <w:pStyle w:val="CommentText"/>
      </w:pPr>
      <w:r>
        <w:rPr>
          <w:rStyle w:val="CommentReference"/>
        </w:rPr>
        <w:annotationRef/>
      </w:r>
      <w:r>
        <w:t>What do you mean by this. So there is no need for use to build the Matlab model</w:t>
      </w:r>
    </w:p>
  </w:comment>
  <w:comment w:id="6" w:author="Silas Asare" w:date="2026-09-16T13:37:00Z" w:initials="SA">
    <w:p w14:paraId="727AC09F" w14:textId="77777777" w:rsidR="00B42CE4" w:rsidRDefault="00B42CE4" w:rsidP="00B42CE4">
      <w:pPr>
        <w:pStyle w:val="CommentText"/>
      </w:pPr>
      <w:r>
        <w:rPr>
          <w:rStyle w:val="CommentReference"/>
        </w:rPr>
        <w:annotationRef/>
      </w:r>
      <w:r>
        <w:t>Do you mean we are going to generate our own dataset for the fault conditions.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66C347" w15:done="0"/>
  <w15:commentEx w15:paraId="60CA2BD0" w15:done="0"/>
  <w15:commentEx w15:paraId="3F47EBDD" w15:done="0"/>
  <w15:commentEx w15:paraId="2A9583F3" w15:done="0"/>
  <w15:commentEx w15:paraId="26EB58C4" w15:done="0"/>
  <w15:commentEx w15:paraId="2E79416A" w15:done="0"/>
  <w15:commentEx w15:paraId="727AC0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FDB75A" w16cex:dateUtc="2026-09-16T13:27:00Z"/>
  <w16cex:commentExtensible w16cex:durableId="281AC86B" w16cex:dateUtc="2026-09-16T13:30:00Z"/>
  <w16cex:commentExtensible w16cex:durableId="5B0BFC47" w16cex:dateUtc="2026-09-16T13:29:00Z"/>
  <w16cex:commentExtensible w16cex:durableId="6E7EB9DE" w16cex:dateUtc="2026-09-16T13:26:00Z"/>
  <w16cex:commentExtensible w16cex:durableId="1CEC0EF0" w16cex:dateUtc="2026-09-16T13:33:00Z"/>
  <w16cex:commentExtensible w16cex:durableId="5C7F5258" w16cex:dateUtc="2026-09-16T13:25:00Z"/>
  <w16cex:commentExtensible w16cex:durableId="633FA8E6" w16cex:dateUtc="2026-09-16T1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66C347" w16cid:durableId="34FDB75A"/>
  <w16cid:commentId w16cid:paraId="60CA2BD0" w16cid:durableId="281AC86B"/>
  <w16cid:commentId w16cid:paraId="3F47EBDD" w16cid:durableId="5B0BFC47"/>
  <w16cid:commentId w16cid:paraId="2A9583F3" w16cid:durableId="6E7EB9DE"/>
  <w16cid:commentId w16cid:paraId="26EB58C4" w16cid:durableId="1CEC0EF0"/>
  <w16cid:commentId w16cid:paraId="2E79416A" w16cid:durableId="5C7F5258"/>
  <w16cid:commentId w16cid:paraId="727AC09F" w16cid:durableId="633FA8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6354"/>
    <w:multiLevelType w:val="hybridMultilevel"/>
    <w:tmpl w:val="99CEF7E6"/>
    <w:lvl w:ilvl="0" w:tplc="FA74DD5E">
      <w:start w:val="1"/>
      <w:numFmt w:val="bullet"/>
      <w:lvlText w:val="•"/>
      <w:lvlJc w:val="left"/>
      <w:pPr>
        <w:ind w:left="504" w:hanging="288"/>
      </w:pPr>
    </w:lvl>
    <w:lvl w:ilvl="1" w:tplc="083AE316">
      <w:numFmt w:val="decimal"/>
      <w:lvlText w:val=""/>
      <w:lvlJc w:val="left"/>
    </w:lvl>
    <w:lvl w:ilvl="2" w:tplc="7AE6300C">
      <w:numFmt w:val="decimal"/>
      <w:lvlText w:val=""/>
      <w:lvlJc w:val="left"/>
    </w:lvl>
    <w:lvl w:ilvl="3" w:tplc="84B0F480">
      <w:numFmt w:val="decimal"/>
      <w:lvlText w:val=""/>
      <w:lvlJc w:val="left"/>
    </w:lvl>
    <w:lvl w:ilvl="4" w:tplc="5CAA822A">
      <w:numFmt w:val="decimal"/>
      <w:lvlText w:val=""/>
      <w:lvlJc w:val="left"/>
    </w:lvl>
    <w:lvl w:ilvl="5" w:tplc="064CEF7A">
      <w:numFmt w:val="decimal"/>
      <w:lvlText w:val=""/>
      <w:lvlJc w:val="left"/>
    </w:lvl>
    <w:lvl w:ilvl="6" w:tplc="A584214C">
      <w:numFmt w:val="decimal"/>
      <w:lvlText w:val=""/>
      <w:lvlJc w:val="left"/>
    </w:lvl>
    <w:lvl w:ilvl="7" w:tplc="D6B22AAA">
      <w:numFmt w:val="decimal"/>
      <w:lvlText w:val=""/>
      <w:lvlJc w:val="left"/>
    </w:lvl>
    <w:lvl w:ilvl="8" w:tplc="2A2C60DE">
      <w:numFmt w:val="decimal"/>
      <w:lvlText w:val=""/>
      <w:lvlJc w:val="left"/>
    </w:lvl>
  </w:abstractNum>
  <w:abstractNum w:abstractNumId="1" w15:restartNumberingAfterBreak="0">
    <w:nsid w:val="66C6799C"/>
    <w:multiLevelType w:val="hybridMultilevel"/>
    <w:tmpl w:val="47723F92"/>
    <w:lvl w:ilvl="0" w:tplc="4E1E60CA">
      <w:start w:val="1"/>
      <w:numFmt w:val="decimal"/>
      <w:lvlText w:val="%1."/>
      <w:lvlJc w:val="left"/>
      <w:pPr>
        <w:ind w:left="576" w:hanging="360"/>
      </w:pPr>
    </w:lvl>
    <w:lvl w:ilvl="1" w:tplc="AEAA2614">
      <w:numFmt w:val="decimal"/>
      <w:lvlText w:val=""/>
      <w:lvlJc w:val="left"/>
    </w:lvl>
    <w:lvl w:ilvl="2" w:tplc="1FD6A128">
      <w:numFmt w:val="decimal"/>
      <w:lvlText w:val=""/>
      <w:lvlJc w:val="left"/>
    </w:lvl>
    <w:lvl w:ilvl="3" w:tplc="0E60EEF2">
      <w:numFmt w:val="decimal"/>
      <w:lvlText w:val=""/>
      <w:lvlJc w:val="left"/>
    </w:lvl>
    <w:lvl w:ilvl="4" w:tplc="508EB364">
      <w:numFmt w:val="decimal"/>
      <w:lvlText w:val=""/>
      <w:lvlJc w:val="left"/>
    </w:lvl>
    <w:lvl w:ilvl="5" w:tplc="743455E2">
      <w:numFmt w:val="decimal"/>
      <w:lvlText w:val=""/>
      <w:lvlJc w:val="left"/>
    </w:lvl>
    <w:lvl w:ilvl="6" w:tplc="19AAD91A">
      <w:numFmt w:val="decimal"/>
      <w:lvlText w:val=""/>
      <w:lvlJc w:val="left"/>
    </w:lvl>
    <w:lvl w:ilvl="7" w:tplc="5538B860">
      <w:numFmt w:val="decimal"/>
      <w:lvlText w:val=""/>
      <w:lvlJc w:val="left"/>
    </w:lvl>
    <w:lvl w:ilvl="8" w:tplc="CC6CF5CC">
      <w:numFmt w:val="decimal"/>
      <w:lvlText w:val=""/>
      <w:lvlJc w:val="left"/>
    </w:lvl>
  </w:abstractNum>
  <w:abstractNum w:abstractNumId="2" w15:restartNumberingAfterBreak="0">
    <w:nsid w:val="7CAA4A6A"/>
    <w:multiLevelType w:val="hybridMultilevel"/>
    <w:tmpl w:val="CDD8968E"/>
    <w:lvl w:ilvl="0" w:tplc="6ED8D12E">
      <w:start w:val="1"/>
      <w:numFmt w:val="bullet"/>
      <w:lvlText w:val="●"/>
      <w:lvlJc w:val="left"/>
      <w:pPr>
        <w:ind w:left="720" w:hanging="360"/>
      </w:pPr>
    </w:lvl>
    <w:lvl w:ilvl="1" w:tplc="52E0C1B2">
      <w:start w:val="1"/>
      <w:numFmt w:val="bullet"/>
      <w:lvlText w:val="○"/>
      <w:lvlJc w:val="left"/>
      <w:pPr>
        <w:ind w:left="1440" w:hanging="360"/>
      </w:pPr>
    </w:lvl>
    <w:lvl w:ilvl="2" w:tplc="4F8E7B78">
      <w:start w:val="1"/>
      <w:numFmt w:val="bullet"/>
      <w:lvlText w:val="■"/>
      <w:lvlJc w:val="left"/>
      <w:pPr>
        <w:ind w:left="2160" w:hanging="360"/>
      </w:pPr>
    </w:lvl>
    <w:lvl w:ilvl="3" w:tplc="2AC2AE9A">
      <w:start w:val="1"/>
      <w:numFmt w:val="bullet"/>
      <w:lvlText w:val="●"/>
      <w:lvlJc w:val="left"/>
      <w:pPr>
        <w:ind w:left="2880" w:hanging="360"/>
      </w:pPr>
    </w:lvl>
    <w:lvl w:ilvl="4" w:tplc="B8F4000A">
      <w:start w:val="1"/>
      <w:numFmt w:val="bullet"/>
      <w:lvlText w:val="○"/>
      <w:lvlJc w:val="left"/>
      <w:pPr>
        <w:ind w:left="3600" w:hanging="360"/>
      </w:pPr>
    </w:lvl>
    <w:lvl w:ilvl="5" w:tplc="D45A33B8">
      <w:start w:val="1"/>
      <w:numFmt w:val="bullet"/>
      <w:lvlText w:val="■"/>
      <w:lvlJc w:val="left"/>
      <w:pPr>
        <w:ind w:left="4320" w:hanging="360"/>
      </w:pPr>
    </w:lvl>
    <w:lvl w:ilvl="6" w:tplc="7674CD5A">
      <w:start w:val="1"/>
      <w:numFmt w:val="bullet"/>
      <w:lvlText w:val="●"/>
      <w:lvlJc w:val="left"/>
      <w:pPr>
        <w:ind w:left="5040" w:hanging="360"/>
      </w:pPr>
    </w:lvl>
    <w:lvl w:ilvl="7" w:tplc="AFEC6D3E">
      <w:start w:val="1"/>
      <w:numFmt w:val="bullet"/>
      <w:lvlText w:val="●"/>
      <w:lvlJc w:val="left"/>
      <w:pPr>
        <w:ind w:left="5760" w:hanging="360"/>
      </w:pPr>
    </w:lvl>
    <w:lvl w:ilvl="8" w:tplc="793A0F60">
      <w:start w:val="1"/>
      <w:numFmt w:val="bullet"/>
      <w:lvlText w:val="●"/>
      <w:lvlJc w:val="left"/>
      <w:pPr>
        <w:ind w:left="6480" w:hanging="360"/>
      </w:pPr>
    </w:lvl>
  </w:abstractNum>
  <w:num w:numId="1" w16cid:durableId="1780173651">
    <w:abstractNumId w:val="2"/>
    <w:lvlOverride w:ilvl="0">
      <w:startOverride w:val="1"/>
    </w:lvlOverride>
  </w:num>
  <w:num w:numId="2" w16cid:durableId="429736412">
    <w:abstractNumId w:val="1"/>
    <w:lvlOverride w:ilvl="0">
      <w:startOverride w:val="1"/>
    </w:lvlOverride>
  </w:num>
  <w:num w:numId="3" w16cid:durableId="83781540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las Asare">
    <w15:presenceInfo w15:providerId="Windows Live" w15:userId="4f9c2f3194e382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BEB"/>
    <w:rsid w:val="002A3BEB"/>
    <w:rsid w:val="002E230B"/>
    <w:rsid w:val="007E2C45"/>
    <w:rsid w:val="00B4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6218"/>
  <w15:docId w15:val="{698EC5CC-EB39-44A4-9F08-0E4591FB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E23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230B"/>
  </w:style>
  <w:style w:type="character" w:customStyle="1" w:styleId="CommentTextChar">
    <w:name w:val="Comment Text Char"/>
    <w:basedOn w:val="DefaultParagraphFont"/>
    <w:link w:val="CommentText"/>
    <w:uiPriority w:val="99"/>
    <w:rsid w:val="002E23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3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Silas Asare</cp:lastModifiedBy>
  <cp:revision>2</cp:revision>
  <dcterms:created xsi:type="dcterms:W3CDTF">2026-09-16T13:41:00Z</dcterms:created>
  <dcterms:modified xsi:type="dcterms:W3CDTF">2026-09-16T13:41:00Z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efd62454-c59a-4345-bce4-33b0cb013181</vt:lpwstr>
  </property>
</Properties>
</file>