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17223" w14:textId="6116D193" w:rsidR="00715DE7" w:rsidRDefault="00715DE7" w:rsidP="00715DE7">
      <w:pPr>
        <w:jc w:val="center"/>
        <w:rPr>
          <w:b/>
          <w:sz w:val="36"/>
        </w:rPr>
      </w:pPr>
      <w:r>
        <w:rPr>
          <w:b/>
          <w:sz w:val="36"/>
        </w:rPr>
        <w:t>Study 2 Protocol</w:t>
      </w:r>
    </w:p>
    <w:p w14:paraId="28F9D432" w14:textId="134E3831" w:rsidR="00715DE7" w:rsidRDefault="00715DE7" w:rsidP="00715DE7">
      <w:pPr>
        <w:jc w:val="center"/>
        <w:rPr>
          <w:b/>
          <w:sz w:val="26"/>
        </w:rPr>
      </w:pPr>
      <w:r>
        <w:rPr>
          <w:b/>
          <w:sz w:val="26"/>
        </w:rPr>
        <w:t>Exploratory improvement study: training on several sources, a hybrid model and a reject option</w:t>
      </w:r>
    </w:p>
    <w:p w14:paraId="1A8CCEED" w14:textId="26EB0EB3" w:rsidR="00715DE7" w:rsidRDefault="00715DE7" w:rsidP="00715DE7">
      <w:pPr>
        <w:jc w:val="center"/>
      </w:pPr>
      <w:r>
        <w:t>Pre-registered on 12 October 2026, before any Study 2 model was trained   |   Version 1   |   Decision D28</w:t>
      </w:r>
    </w:p>
    <w:p w14:paraId="6334F0A6" w14:textId="01010A84" w:rsidR="00715DE7" w:rsidRDefault="00715DE7" w:rsidP="00715DE7">
      <w:pPr>
        <w:jc w:val="center"/>
      </w:pPr>
      <w:r>
        <w:t>Thesis: Intelligent Power Transformer Fault Diagnosis Using Dissolved Gas Analysis and Machine Learning (MPhil, UMaT)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715DE7" w14:paraId="4D15DB1F" w14:textId="77777777" w:rsidTr="00715DE7">
        <w:tblPrEx>
          <w:tblCellMar>
            <w:top w:w="0" w:type="dxa"/>
            <w:bottom w:w="0" w:type="dxa"/>
          </w:tblCellMar>
        </w:tblPrEx>
        <w:tc>
          <w:tcPr>
            <w:tcW w:w="9026" w:type="dxa"/>
            <w:shd w:val="clear" w:color="auto" w:fill="DDEBF7"/>
          </w:tcPr>
          <w:p w14:paraId="508D056C" w14:textId="39CEB8D0" w:rsidR="00715DE7" w:rsidRPr="00715DE7" w:rsidRDefault="00715DE7" w:rsidP="00715DE7">
            <w:pPr>
              <w:spacing w:after="80"/>
            </w:pPr>
            <w:r w:rsidRPr="00715DE7">
              <w:t>In short: The main (confirmatory) results of Steps 22-31 stay exactly as they are: the research hypothesis was not supported on the IEC TC 10 benchmark. Study 2 asks, as a separate and clearly labelled exploratory study, whether the model can be improved by (1) training on several data sources, (2) giving it the conventional methods' answers as extra inputs, and (3) letting it decline to answer when unsure. Every choice is fixed in this document before any Study 2 model is trained. Because the IEC TC 10 and Li 2019 sets have already been seen, a positive Study 2 result can only motivate, not prove, an improvement; proof needs a fresh data set (Step 31F).</w:t>
            </w:r>
          </w:p>
        </w:tc>
      </w:tr>
    </w:tbl>
    <w:p w14:paraId="4DD765B1" w14:textId="4A94C460" w:rsidR="00715DE7" w:rsidRDefault="00715DE7" w:rsidP="00715DE7">
      <w:pPr>
        <w:pStyle w:val="Heading1"/>
      </w:pPr>
      <w:r>
        <w:t>1. Why Study 2 is needed and what it may claim</w:t>
      </w:r>
    </w:p>
    <w:p w14:paraId="1F264644" w14:textId="4B78838B" w:rsidR="00715DE7" w:rsidRDefault="00715DE7" w:rsidP="00715DE7">
      <w:r>
        <w:t>The confirmatory study showed a fall in accuracy from the internal test set (0.82) to the IEC TC 10 benchmark (0.72) and Li 2019 (0.63). The most likely cause is dataset shift: the model was trained on one source whose labelling method is not documented (decision D7). Study 2 tests three standard remedies.</w:t>
      </w:r>
    </w:p>
    <w:p w14:paraId="6DB0A3B7" w14:textId="2C85838A" w:rsidR="00715DE7" w:rsidRDefault="00715DE7" w:rsidP="00715DE7">
      <w:pPr>
        <w:ind w:left="420" w:hanging="280"/>
      </w:pPr>
      <w:r>
        <w:t>•  What Study 2 may claim: whether each remedy improves performance on a data source the model did not see during training, measured by leave-one-source-out evaluation.</w:t>
      </w:r>
    </w:p>
    <w:p w14:paraId="333190ED" w14:textId="0F9192D1" w:rsidR="00715DE7" w:rsidRDefault="00715DE7" w:rsidP="00715DE7">
      <w:pPr>
        <w:ind w:left="420" w:hanging="280"/>
      </w:pPr>
      <w:r>
        <w:t>•  What it may not claim: a confirmed improvement on IEC TC 10 or Li 2019, because these sets were used in Steps 22-31 and influenced the decision to run Study 2. Results on them are exploratory. The confirmatory results are never replaced or re-labelled.</w:t>
      </w:r>
    </w:p>
    <w:p w14:paraId="231E91E5" w14:textId="66CFB7E2" w:rsidR="00715DE7" w:rsidRDefault="00715DE7" w:rsidP="00715DE7">
      <w:pPr>
        <w:pStyle w:val="Heading1"/>
      </w:pPr>
      <w:r>
        <w:t>2. Questions</w:t>
      </w:r>
    </w:p>
    <w:p w14:paraId="0B7BA010" w14:textId="20B84CC6" w:rsidR="00715DE7" w:rsidRDefault="00715DE7" w:rsidP="00715DE7">
      <w:pPr>
        <w:ind w:left="420" w:hanging="280"/>
      </w:pPr>
      <w:r>
        <w:t>S2-Q1.  Does training on several sources (model B) predict an unseen source better than training on the Dissanayake training set alone (model A)?</w:t>
      </w:r>
    </w:p>
    <w:p w14:paraId="387EB58C" w14:textId="70079EC3" w:rsidR="00715DE7" w:rsidRDefault="00715DE7" w:rsidP="00715DE7">
      <w:pPr>
        <w:ind w:left="420" w:hanging="280"/>
      </w:pPr>
      <w:r>
        <w:t>S2-Q2.  Does adding the conventional methods' answers and boundary distances as inputs (hybrid model C) improve on model B?</w:t>
      </w:r>
    </w:p>
    <w:p w14:paraId="34234A43" w14:textId="48E4C894" w:rsidR="00715DE7" w:rsidRDefault="00715DE7" w:rsidP="00715DE7">
      <w:pPr>
        <w:ind w:left="420" w:hanging="280"/>
      </w:pPr>
      <w:r>
        <w:t>S2-Q3.  If the model may decline to answer when its top probability is low (reject option), is it more accurate than each conventional method at the same coverage?</w:t>
      </w:r>
    </w:p>
    <w:p w14:paraId="02E3597F" w14:textId="66ED10FC" w:rsidR="00715DE7" w:rsidRDefault="00715DE7" w:rsidP="00715DE7">
      <w:pPr>
        <w:ind w:left="420" w:hanging="280"/>
      </w:pPr>
      <w:r>
        <w:t>S2-Q4.  Is a fresh, legitimately licensed set of inspection-confirmed DGA cases available for confirmation?</w:t>
      </w:r>
    </w:p>
    <w:p w14:paraId="48BDA999" w14:textId="2F203FFB" w:rsidR="00715DE7" w:rsidRDefault="00715DE7" w:rsidP="00715DE7">
      <w:pPr>
        <w:pStyle w:val="Heading1"/>
      </w:pPr>
      <w:r>
        <w:lastRenderedPageBreak/>
        <w:t>3. Data</w:t>
      </w:r>
    </w:p>
    <w:p w14:paraId="45411F22" w14:textId="6E543EA2" w:rsidR="00715DE7" w:rsidRDefault="00715DE7" w:rsidP="00715DE7">
      <w:pPr>
        <w:pStyle w:val="Heading2"/>
      </w:pPr>
      <w:r>
        <w:t>Sources and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3000"/>
        <w:gridCol w:w="3200"/>
      </w:tblGrid>
      <w:tr w:rsidR="00715DE7" w:rsidRPr="00715DE7" w14:paraId="4C580A1A" w14:textId="77777777" w:rsidTr="00715DE7">
        <w:tblPrEx>
          <w:tblCellMar>
            <w:top w:w="0" w:type="dxa"/>
            <w:bottom w:w="0" w:type="dxa"/>
          </w:tblCellMar>
        </w:tblPrEx>
        <w:trPr>
          <w:tblHeader/>
        </w:trPr>
        <w:tc>
          <w:tcPr>
            <w:tcW w:w="3000" w:type="dxa"/>
            <w:shd w:val="clear" w:color="auto" w:fill="D9D9D9"/>
          </w:tcPr>
          <w:p w14:paraId="7932B123" w14:textId="6918F2E4" w:rsidR="00715DE7" w:rsidRPr="00715DE7" w:rsidRDefault="00715DE7" w:rsidP="00715DE7">
            <w:pPr>
              <w:spacing w:after="40" w:line="240" w:lineRule="auto"/>
              <w:rPr>
                <w:b/>
                <w:sz w:val="21"/>
              </w:rPr>
            </w:pPr>
            <w:r w:rsidRPr="00715DE7">
              <w:rPr>
                <w:b/>
                <w:sz w:val="21"/>
              </w:rPr>
              <w:t>Source (held-out unit)</w:t>
            </w:r>
          </w:p>
        </w:tc>
        <w:tc>
          <w:tcPr>
            <w:tcW w:w="3000" w:type="dxa"/>
            <w:shd w:val="clear" w:color="auto" w:fill="D9D9D9"/>
          </w:tcPr>
          <w:p w14:paraId="28C27810" w14:textId="7D2B1028" w:rsidR="00715DE7" w:rsidRPr="00715DE7" w:rsidRDefault="00715DE7" w:rsidP="00715DE7">
            <w:pPr>
              <w:spacing w:after="40" w:line="240" w:lineRule="auto"/>
              <w:rPr>
                <w:b/>
                <w:sz w:val="21"/>
              </w:rPr>
            </w:pPr>
            <w:r w:rsidRPr="00715DE7">
              <w:rPr>
                <w:b/>
                <w:sz w:val="21"/>
              </w:rPr>
              <w:t>Records used</w:t>
            </w:r>
          </w:p>
        </w:tc>
        <w:tc>
          <w:tcPr>
            <w:tcW w:w="3200" w:type="dxa"/>
            <w:shd w:val="clear" w:color="auto" w:fill="D9D9D9"/>
          </w:tcPr>
          <w:p w14:paraId="4784CA77" w14:textId="7817CDFB" w:rsidR="00715DE7" w:rsidRPr="00715DE7" w:rsidRDefault="00715DE7" w:rsidP="00715DE7">
            <w:pPr>
              <w:spacing w:after="40" w:line="240" w:lineRule="auto"/>
              <w:rPr>
                <w:b/>
                <w:sz w:val="21"/>
              </w:rPr>
            </w:pPr>
            <w:r w:rsidRPr="00715DE7">
              <w:rPr>
                <w:b/>
                <w:sz w:val="21"/>
              </w:rPr>
              <w:t>Notes</w:t>
            </w:r>
          </w:p>
        </w:tc>
      </w:tr>
      <w:tr w:rsidR="00715DE7" w:rsidRPr="00715DE7" w14:paraId="55EA3F13" w14:textId="77777777" w:rsidTr="00715DE7">
        <w:tblPrEx>
          <w:tblCellMar>
            <w:top w:w="0" w:type="dxa"/>
            <w:bottom w:w="0" w:type="dxa"/>
          </w:tblCellMar>
        </w:tblPrEx>
        <w:tc>
          <w:tcPr>
            <w:tcW w:w="3000" w:type="dxa"/>
          </w:tcPr>
          <w:p w14:paraId="68885D3C" w14:textId="44461556" w:rsidR="00715DE7" w:rsidRPr="00715DE7" w:rsidRDefault="00715DE7" w:rsidP="00715DE7">
            <w:pPr>
              <w:spacing w:after="40" w:line="240" w:lineRule="auto"/>
              <w:rPr>
                <w:sz w:val="21"/>
              </w:rPr>
            </w:pPr>
            <w:r>
              <w:rPr>
                <w:sz w:val="21"/>
              </w:rPr>
              <w:t>Dissanayake training file (DISTRAIN)</w:t>
            </w:r>
          </w:p>
        </w:tc>
        <w:tc>
          <w:tcPr>
            <w:tcW w:w="3000" w:type="dxa"/>
          </w:tcPr>
          <w:p w14:paraId="526DC62D" w14:textId="4FAD6786" w:rsidR="00715DE7" w:rsidRPr="00715DE7" w:rsidRDefault="00715DE7" w:rsidP="00715DE7">
            <w:pPr>
              <w:spacing w:after="40" w:line="240" w:lineRule="auto"/>
              <w:rPr>
                <w:sz w:val="21"/>
              </w:rPr>
            </w:pPr>
            <w:r>
              <w:rPr>
                <w:sz w:val="21"/>
              </w:rPr>
              <w:t>439 development records</w:t>
            </w:r>
          </w:p>
        </w:tc>
        <w:tc>
          <w:tcPr>
            <w:tcW w:w="3200" w:type="dxa"/>
          </w:tcPr>
          <w:p w14:paraId="58587E18" w14:textId="4A694D01" w:rsidR="00715DE7" w:rsidRPr="00715DE7" w:rsidRDefault="00715DE7" w:rsidP="00715DE7">
            <w:pPr>
              <w:spacing w:after="40" w:line="240" w:lineRule="auto"/>
              <w:rPr>
                <w:sz w:val="21"/>
              </w:rPr>
            </w:pPr>
            <w:r>
              <w:rPr>
                <w:sz w:val="21"/>
              </w:rPr>
              <w:t>labels of undocumented origin (D7)</w:t>
            </w:r>
          </w:p>
        </w:tc>
      </w:tr>
      <w:tr w:rsidR="00715DE7" w:rsidRPr="00715DE7" w14:paraId="0357358D" w14:textId="77777777" w:rsidTr="00715DE7">
        <w:tblPrEx>
          <w:tblCellMar>
            <w:top w:w="0" w:type="dxa"/>
            <w:bottom w:w="0" w:type="dxa"/>
          </w:tblCellMar>
        </w:tblPrEx>
        <w:tc>
          <w:tcPr>
            <w:tcW w:w="3000" w:type="dxa"/>
          </w:tcPr>
          <w:p w14:paraId="1682AC5F" w14:textId="44BC0A96" w:rsidR="00715DE7" w:rsidRPr="00715DE7" w:rsidRDefault="00715DE7" w:rsidP="00715DE7">
            <w:pPr>
              <w:spacing w:after="40" w:line="240" w:lineRule="auto"/>
              <w:rPr>
                <w:sz w:val="21"/>
              </w:rPr>
            </w:pPr>
            <w:r>
              <w:rPr>
                <w:sz w:val="21"/>
              </w:rPr>
              <w:t>Dissanayake unseen file (DISTEST)</w:t>
            </w:r>
          </w:p>
        </w:tc>
        <w:tc>
          <w:tcPr>
            <w:tcW w:w="3000" w:type="dxa"/>
          </w:tcPr>
          <w:p w14:paraId="2E1B84A4" w14:textId="7CEEF38E" w:rsidR="00715DE7" w:rsidRPr="00715DE7" w:rsidRDefault="00715DE7" w:rsidP="00715DE7">
            <w:pPr>
              <w:spacing w:after="40" w:line="240" w:lineRule="auto"/>
              <w:rPr>
                <w:sz w:val="21"/>
              </w:rPr>
            </w:pPr>
            <w:r>
              <w:rPr>
                <w:sz w:val="21"/>
              </w:rPr>
              <w:t>records independent of IEC TC 10</w:t>
            </w:r>
          </w:p>
        </w:tc>
        <w:tc>
          <w:tcPr>
            <w:tcW w:w="3200" w:type="dxa"/>
          </w:tcPr>
          <w:p w14:paraId="70BC5008" w14:textId="76029155" w:rsidR="00715DE7" w:rsidRPr="00715DE7" w:rsidRDefault="00715DE7" w:rsidP="00715DE7">
            <w:pPr>
              <w:spacing w:after="40" w:line="240" w:lineRule="auto"/>
              <w:rPr>
                <w:sz w:val="21"/>
              </w:rPr>
            </w:pPr>
            <w:r>
              <w:rPr>
                <w:sz w:val="21"/>
              </w:rPr>
              <w:t>the 9 IEC TC 10 copies belong to IEC TC 10</w:t>
            </w:r>
          </w:p>
        </w:tc>
      </w:tr>
      <w:tr w:rsidR="00715DE7" w:rsidRPr="00715DE7" w14:paraId="5EF2B72C" w14:textId="77777777" w:rsidTr="00715DE7">
        <w:tblPrEx>
          <w:tblCellMar>
            <w:top w:w="0" w:type="dxa"/>
            <w:bottom w:w="0" w:type="dxa"/>
          </w:tblCellMar>
        </w:tblPrEx>
        <w:tc>
          <w:tcPr>
            <w:tcW w:w="3000" w:type="dxa"/>
          </w:tcPr>
          <w:p w14:paraId="43AE1267" w14:textId="5B8E68BB" w:rsidR="00715DE7" w:rsidRPr="00715DE7" w:rsidRDefault="00715DE7" w:rsidP="00715DE7">
            <w:pPr>
              <w:spacing w:after="40" w:line="240" w:lineRule="auto"/>
              <w:rPr>
                <w:sz w:val="21"/>
              </w:rPr>
            </w:pPr>
            <w:r>
              <w:rPr>
                <w:sz w:val="21"/>
              </w:rPr>
              <w:t>IEC TC 10 (IECTC10)</w:t>
            </w:r>
          </w:p>
        </w:tc>
        <w:tc>
          <w:tcPr>
            <w:tcW w:w="3000" w:type="dxa"/>
          </w:tcPr>
          <w:p w14:paraId="0804CB65" w14:textId="0154BBB5" w:rsidR="00715DE7" w:rsidRPr="00715DE7" w:rsidRDefault="00715DE7" w:rsidP="00715DE7">
            <w:pPr>
              <w:spacing w:after="40" w:line="240" w:lineRule="auto"/>
              <w:rPr>
                <w:sz w:val="21"/>
              </w:rPr>
            </w:pPr>
            <w:r>
              <w:rPr>
                <w:sz w:val="21"/>
              </w:rPr>
              <w:t>power transformers (codes P, U) - primary; all 117 records - sensitivity</w:t>
            </w:r>
          </w:p>
        </w:tc>
        <w:tc>
          <w:tcPr>
            <w:tcW w:w="3200" w:type="dxa"/>
          </w:tcPr>
          <w:p w14:paraId="3AFB8A3A" w14:textId="2AB1C634" w:rsidR="00715DE7" w:rsidRPr="00715DE7" w:rsidRDefault="00715DE7" w:rsidP="00715DE7">
            <w:pPr>
              <w:spacing w:after="40" w:line="240" w:lineRule="auto"/>
              <w:rPr>
                <w:sz w:val="21"/>
              </w:rPr>
            </w:pPr>
            <w:r>
              <w:rPr>
                <w:sz w:val="21"/>
              </w:rPr>
              <w:t>inspection-confirmed labels (approved item 8)</w:t>
            </w:r>
          </w:p>
        </w:tc>
      </w:tr>
      <w:tr w:rsidR="00715DE7" w:rsidRPr="00715DE7" w14:paraId="3DB87979" w14:textId="77777777" w:rsidTr="00715DE7">
        <w:tblPrEx>
          <w:tblCellMar>
            <w:top w:w="0" w:type="dxa"/>
            <w:bottom w:w="0" w:type="dxa"/>
          </w:tblCellMar>
        </w:tblPrEx>
        <w:tc>
          <w:tcPr>
            <w:tcW w:w="3000" w:type="dxa"/>
          </w:tcPr>
          <w:p w14:paraId="206A069A" w14:textId="010D7C42" w:rsidR="00715DE7" w:rsidRPr="00715DE7" w:rsidRDefault="00715DE7" w:rsidP="00715DE7">
            <w:pPr>
              <w:spacing w:after="40" w:line="240" w:lineRule="auto"/>
              <w:rPr>
                <w:sz w:val="21"/>
              </w:rPr>
            </w:pPr>
            <w:r>
              <w:rPr>
                <w:sz w:val="21"/>
              </w:rPr>
              <w:t>Li 2019 (LI2019)</w:t>
            </w:r>
          </w:p>
        </w:tc>
        <w:tc>
          <w:tcPr>
            <w:tcW w:w="3000" w:type="dxa"/>
          </w:tcPr>
          <w:p w14:paraId="1E8BFFD7" w14:textId="7D6493E7" w:rsidR="00715DE7" w:rsidRPr="00715DE7" w:rsidRDefault="00715DE7" w:rsidP="00715DE7">
            <w:pPr>
              <w:spacing w:after="40" w:line="240" w:lineRule="auto"/>
              <w:rPr>
                <w:sz w:val="21"/>
              </w:rPr>
            </w:pPr>
            <w:r>
              <w:rPr>
                <w:sz w:val="21"/>
              </w:rPr>
              <w:t>records independent of IEC TC 10 and of DISTEST</w:t>
            </w:r>
          </w:p>
        </w:tc>
        <w:tc>
          <w:tcPr>
            <w:tcW w:w="3200" w:type="dxa"/>
          </w:tcPr>
          <w:p w14:paraId="7BE28FED" w14:textId="168AF5A7" w:rsidR="00715DE7" w:rsidRPr="00715DE7" w:rsidRDefault="00715DE7" w:rsidP="00715DE7">
            <w:pPr>
              <w:spacing w:after="40" w:line="240" w:lineRule="auto"/>
              <w:rPr>
                <w:sz w:val="21"/>
              </w:rPr>
            </w:pPr>
            <w:r>
              <w:rPr>
                <w:sz w:val="21"/>
              </w:rPr>
              <w:t>label mapping of approved item 7</w:t>
            </w:r>
          </w:p>
        </w:tc>
      </w:tr>
    </w:tbl>
    <w:p w14:paraId="0FE113F2" w14:textId="6BFEBE23" w:rsidR="00715DE7" w:rsidRDefault="00715DE7" w:rsidP="00715DE7">
      <w:pPr>
        <w:pStyle w:val="Heading2"/>
      </w:pPr>
      <w:r>
        <w:t>Deduplication and near-duplicates (fixed rules)</w:t>
      </w:r>
    </w:p>
    <w:p w14:paraId="459B59B3" w14:textId="1D657573" w:rsidR="00715DE7" w:rsidRDefault="00715DE7" w:rsidP="00715DE7">
      <w:pPr>
        <w:ind w:left="420" w:hanging="280"/>
      </w:pPr>
      <w:r>
        <w:t>•  Exact copies across sources (identical five gas values) are kept once, in this order of priority: IEC TC 10 (inspection-confirmed), Dissanayake training, Dissanayake unseen, Li 2019. Where copies carry different labels, the IEC TC 10 label is kept and the conflict is listed.</w:t>
      </w:r>
    </w:p>
    <w:p w14:paraId="2E7CF3A6" w14:textId="19FC671F" w:rsidR="00715DE7" w:rsidRDefault="00715DE7" w:rsidP="00715DE7">
      <w:pPr>
        <w:ind w:left="420" w:hanging="280"/>
      </w:pPr>
      <w:r>
        <w:t>•  Near-duplicate groups are formed over ALL pooled records with the Step 10 rule (every gas within 1 % or 1 ppm, linked transitively). In every leave-one-source-out split, any training record that shares a group with a held-out record is removed from training, so no near-copy of a test record is ever learned.</w:t>
      </w:r>
    </w:p>
    <w:p w14:paraId="1DE022C3" w14:textId="3AA25C7F" w:rsidR="00715DE7" w:rsidRDefault="00715DE7" w:rsidP="00715DE7">
      <w:pPr>
        <w:ind w:left="420" w:hanging="280"/>
      </w:pPr>
      <w:r>
        <w:t>•  Classes: six - Normal, PD, D1, D2, T1/T2 merged, T3 - because IEC TC 10 has no separate T1 and T2 labels. A gas not detected is 0 ppm (decision D8). The exact numbers of records after these rules are produced and reported in Step 31B.</w:t>
      </w:r>
    </w:p>
    <w:p w14:paraId="3D737768" w14:textId="11B89BA4" w:rsidR="00715DE7" w:rsidRDefault="00715DE7" w:rsidP="00715DE7">
      <w:pPr>
        <w:ind w:left="420" w:hanging="280"/>
      </w:pPr>
      <w:r>
        <w:t>•  The frozen data version 1.0 is not changed; Study 2 writes its own pooled file with its own SHA-256 manifest.</w:t>
      </w:r>
    </w:p>
    <w:p w14:paraId="59DAA4E0" w14:textId="33F41C96" w:rsidR="00715DE7" w:rsidRDefault="00715DE7" w:rsidP="00715DE7">
      <w:pPr>
        <w:pStyle w:val="Heading1"/>
      </w:pPr>
      <w:r>
        <w:t>4. Design</w:t>
      </w:r>
    </w:p>
    <w:p w14:paraId="1CAEAF33" w14:textId="7483FF28" w:rsidR="00715DE7" w:rsidRDefault="00715DE7" w:rsidP="00715DE7">
      <w:pPr>
        <w:pStyle w:val="Heading2"/>
      </w:pPr>
      <w:r>
        <w:t>Leave-one-source-out evaluation</w:t>
      </w:r>
    </w:p>
    <w:p w14:paraId="70A41252" w14:textId="615FC108" w:rsidR="00715DE7" w:rsidRDefault="00715DE7" w:rsidP="00715DE7">
      <w:r>
        <w:t>Each of the four sources is held out in turn. Models are trained and tuned on the other three sources only and then predict the held-out source once.</w:t>
      </w:r>
    </w:p>
    <w:p w14:paraId="2E859EB5" w14:textId="7F818B54" w:rsidR="00715DE7" w:rsidRPr="00715DE7" w:rsidRDefault="00715DE7" w:rsidP="00715DE7">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test</m:t>
                  </m:r>
                </m:sub>
              </m:sSub>
              <m:r>
                <w:rPr>
                  <w:rFonts w:ascii="Cambria Math" w:hAnsi="Cambria Math" w:cs="Cambria Math"/>
                </w:rPr>
                <m:t>∈</m:t>
              </m:r>
              <m:d>
                <m:dPr>
                  <m:begChr m:val="{"/>
                  <m:endChr m:val="}"/>
                  <m:ctrlPr>
                    <w:rPr>
                      <w:rFonts w:ascii="Cambria Math" w:hAnsi="Cambria Math"/>
                      <w:i/>
                    </w:rPr>
                  </m:ctrlPr>
                </m:dPr>
                <m:e>
                  <m:r>
                    <m:rPr>
                      <m:nor/>
                    </m:rPr>
                    <w:rPr>
                      <w:rFonts w:ascii="Cambria Math" w:hAnsi="Cambria Math"/>
                    </w:rPr>
                    <m:t>DISTRAIN</m:t>
                  </m:r>
                  <m:r>
                    <w:rPr>
                      <w:rFonts w:ascii="Cambria Math" w:hAnsi="Cambria Math"/>
                    </w:rPr>
                    <m:t>,</m:t>
                  </m:r>
                  <m:r>
                    <m:rPr>
                      <m:nor/>
                    </m:rPr>
                    <w:rPr>
                      <w:rFonts w:ascii="Cambria Math" w:hAnsi="Cambria Math"/>
                    </w:rPr>
                    <m:t>DISTEST</m:t>
                  </m:r>
                  <m:r>
                    <w:rPr>
                      <w:rFonts w:ascii="Cambria Math" w:hAnsi="Cambria Math"/>
                    </w:rPr>
                    <m:t>,</m:t>
                  </m:r>
                  <m:r>
                    <m:rPr>
                      <m:nor/>
                    </m:rPr>
                    <w:rPr>
                      <w:rFonts w:ascii="Cambria Math" w:hAnsi="Cambria Math"/>
                    </w:rPr>
                    <m:t>IECTC10</m:t>
                  </m:r>
                  <m:r>
                    <w:rPr>
                      <w:rFonts w:ascii="Cambria Math" w:hAnsi="Cambria Math"/>
                    </w:rPr>
                    <m:t>,</m:t>
                  </m:r>
                  <m:r>
                    <m:rPr>
                      <m:nor/>
                    </m:rPr>
                    <w:rPr>
                      <w:rFonts w:ascii="Cambria Math" w:hAnsi="Cambria Math"/>
                    </w:rPr>
                    <m:t>LI2019</m:t>
                  </m:r>
                </m:e>
              </m:d>
              <m:r>
                <w:rPr>
                  <w:rFonts w:ascii="Cambria Math" w:hAnsi="Cambria Math"/>
                </w:rPr>
                <m:t>  </m:t>
              </m:r>
              <m:sSub>
                <m:sSubPr>
                  <m:ctrlPr>
                    <w:rPr>
                      <w:rFonts w:ascii="Cambria Math" w:hAnsi="Cambria Math"/>
                      <w:i/>
                    </w:rPr>
                  </m:ctrlPr>
                </m:sSubPr>
                <m:e>
                  <m:r>
                    <w:rPr>
                      <w:rFonts w:ascii="Cambria Math" w:hAnsi="Cambria Math"/>
                    </w:rPr>
                    <m:t>D</m:t>
                  </m:r>
                </m:e>
                <m:sub>
                  <m:r>
                    <w:rPr>
                      <w:rFonts w:ascii="Cambria Math" w:hAnsi="Cambria Math"/>
                    </w:rPr>
                    <m:t>train</m:t>
                  </m:r>
                </m:sub>
              </m:sSub>
              <m:r>
                <w:rPr>
                  <w:rFonts w:ascii="Cambria Math" w:hAnsi="Cambria Math"/>
                </w:rPr>
                <m:t>=</m:t>
              </m:r>
              <m:nary>
                <m:naryPr>
                  <m:chr m:val="⋃"/>
                  <m:supHide m:val="1"/>
                  <m:ctrlPr>
                    <w:rPr>
                      <w:rFonts w:ascii="Cambria Math" w:hAnsi="Cambria Math" w:cs="Cambria Math"/>
                      <w:i/>
                    </w:rPr>
                  </m:ctrlPr>
                </m:naryPr>
                <m:sub>
                  <m:r>
                    <w:rPr>
                      <w:rFonts w:ascii="Cambria Math" w:hAnsi="Cambria Math"/>
                    </w:rPr>
                    <m:t>S</m:t>
                  </m:r>
                  <m:r>
                    <w:rPr>
                      <w:rFonts w:ascii="Cambria Math" w:hAnsi="Cambria Math" w:cs="Times New Roman"/>
                    </w:rPr>
                    <m:t>≠</m:t>
                  </m:r>
                  <m:sSub>
                    <m:sSubPr>
                      <m:ctrlPr>
                        <w:rPr>
                          <w:rFonts w:ascii="Cambria Math" w:hAnsi="Cambria Math"/>
                          <w:i/>
                        </w:rPr>
                      </m:ctrlPr>
                    </m:sSubPr>
                    <m:e>
                      <m:r>
                        <w:rPr>
                          <w:rFonts w:ascii="Cambria Math" w:hAnsi="Cambria Math"/>
                        </w:rPr>
                        <m:t>S</m:t>
                      </m:r>
                      <m:ctrlPr>
                        <w:rPr>
                          <w:rFonts w:ascii="Cambria Math" w:hAnsi="Cambria Math" w:cs="Times New Roman"/>
                          <w:i/>
                        </w:rPr>
                      </m:ctrlPr>
                    </m:e>
                    <m:sub>
                      <m:r>
                        <w:rPr>
                          <w:rFonts w:ascii="Cambria Math" w:hAnsi="Cambria Math"/>
                        </w:rPr>
                        <m:t>test</m:t>
                      </m:r>
                    </m:sub>
                  </m:sSub>
                  <m:ctrlPr>
                    <w:rPr>
                      <w:rFonts w:ascii="Cambria Math" w:hAnsi="Cambria Math"/>
                      <w:i/>
                    </w:rPr>
                  </m:ctrlPr>
                </m:sub>
                <m:sup>
                  <m:ctrlPr>
                    <w:rPr>
                      <w:rFonts w:ascii="Cambria Math" w:hAnsi="Cambria Math" w:cs="Times New Roman"/>
                      <w:i/>
                    </w:rPr>
                  </m:ctrlPr>
                </m:sup>
                <m:e>
                  <m:r>
                    <w:rPr>
                      <w:rFonts w:ascii="Cambria Math" w:hAnsi="Cambria Math"/>
                    </w:rPr>
                    <m:t>S</m:t>
                  </m:r>
                  <m:ctrlPr>
                    <w:rPr>
                      <w:rFonts w:ascii="Cambria Math" w:hAnsi="Cambria Math" w:cs="Times New Roman"/>
                      <w:i/>
                    </w:rPr>
                  </m:ctrlPr>
                </m:e>
              </m:nary>
              <m:r>
                <w:rPr>
                  <w:rFonts w:ascii="Cambria Math" w:hAnsi="Cambria Math" w:cs="Cambria Math"/>
                </w:rPr>
                <m:t>∖</m:t>
              </m:r>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test</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7B65BD53" w14:textId="091D1FCD" w:rsidR="00715DE7" w:rsidRDefault="00715DE7" w:rsidP="00715DE7">
      <w:pPr>
        <w:keepNext/>
        <w:spacing w:after="0"/>
      </w:pPr>
      <w:r>
        <w:t>where:</w:t>
      </w:r>
    </w:p>
    <w:p w14:paraId="36F516CB" w14:textId="1A35B309" w:rsidR="00715DE7" w:rsidRDefault="00715DE7" w:rsidP="00715DE7">
      <w:pPr>
        <w:spacing w:after="0"/>
        <w:ind w:left="920" w:hanging="480"/>
      </w:pPr>
      <m:oMath>
        <m:sSub>
          <m:sSubPr>
            <m:ctrlPr>
              <w:rPr>
                <w:rFonts w:ascii="Cambria Math" w:hAnsi="Cambria Math"/>
                <w:i/>
              </w:rPr>
            </m:ctrlPr>
          </m:sSubPr>
          <m:e>
            <m:r>
              <w:rPr>
                <w:rFonts w:ascii="Cambria Math" w:hAnsi="Cambria Math"/>
              </w:rPr>
              <m:t>S</m:t>
            </m:r>
          </m:e>
          <m:sub>
            <m:r>
              <w:rPr>
                <w:rFonts w:ascii="Cambria Math" w:hAnsi="Cambria Math"/>
              </w:rPr>
              <m:t>test</m:t>
            </m:r>
          </m:sub>
        </m:sSub>
      </m:oMath>
      <w:r>
        <w:t xml:space="preserve">  –  the held-out source</w:t>
      </w:r>
    </w:p>
    <w:p w14:paraId="05F00211" w14:textId="04C0B72B" w:rsidR="00715DE7" w:rsidRDefault="00715DE7" w:rsidP="00715DE7">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train</m:t>
            </m:r>
          </m:sub>
        </m:sSub>
      </m:oMath>
      <w:r>
        <w:t xml:space="preserve">  –  training records: all other sources</w:t>
      </w:r>
    </w:p>
    <w:p w14:paraId="46CE263A" w14:textId="757497F0" w:rsidR="00715DE7" w:rsidRDefault="00715DE7" w:rsidP="00715DE7">
      <w:pPr>
        <w:spacing w:after="160"/>
        <w:ind w:left="920" w:hanging="480"/>
      </w:pP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test</m:t>
                </m:r>
              </m:sub>
            </m:sSub>
          </m:e>
        </m:d>
      </m:oMath>
      <w:r>
        <w:t xml:space="preserve">  –  records that share a near-duplicate group with a held-out record (removed from training)</w:t>
      </w:r>
    </w:p>
    <w:p w14:paraId="777E1E46" w14:textId="332B13CE" w:rsidR="00715DE7" w:rsidRDefault="00715DE7" w:rsidP="00715DE7">
      <w:pPr>
        <w:pStyle w:val="Heading2"/>
      </w:pPr>
      <w:r>
        <w:lastRenderedPageBreak/>
        <w:t>Models (all fixed now)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400"/>
        <w:gridCol w:w="4000"/>
      </w:tblGrid>
      <w:tr w:rsidR="00715DE7" w:rsidRPr="00715DE7" w14:paraId="4E0C98E6" w14:textId="77777777" w:rsidTr="00715DE7">
        <w:tblPrEx>
          <w:tblCellMar>
            <w:top w:w="0" w:type="dxa"/>
            <w:bottom w:w="0" w:type="dxa"/>
          </w:tblCellMar>
        </w:tblPrEx>
        <w:trPr>
          <w:tblHeader/>
        </w:trPr>
        <w:tc>
          <w:tcPr>
            <w:tcW w:w="1800" w:type="dxa"/>
            <w:shd w:val="clear" w:color="auto" w:fill="D9D9D9"/>
          </w:tcPr>
          <w:p w14:paraId="19DFF104" w14:textId="729F2DB3" w:rsidR="00715DE7" w:rsidRPr="00715DE7" w:rsidRDefault="00715DE7" w:rsidP="00715DE7">
            <w:pPr>
              <w:spacing w:after="40" w:line="240" w:lineRule="auto"/>
              <w:rPr>
                <w:b/>
                <w:sz w:val="21"/>
              </w:rPr>
            </w:pPr>
            <w:r w:rsidRPr="00715DE7">
              <w:rPr>
                <w:b/>
                <w:sz w:val="21"/>
              </w:rPr>
              <w:t>Model</w:t>
            </w:r>
          </w:p>
        </w:tc>
        <w:tc>
          <w:tcPr>
            <w:tcW w:w="3400" w:type="dxa"/>
            <w:shd w:val="clear" w:color="auto" w:fill="D9D9D9"/>
          </w:tcPr>
          <w:p w14:paraId="3F2DE0AC" w14:textId="5FA914DA" w:rsidR="00715DE7" w:rsidRPr="00715DE7" w:rsidRDefault="00715DE7" w:rsidP="00715DE7">
            <w:pPr>
              <w:spacing w:after="40" w:line="240" w:lineRule="auto"/>
              <w:rPr>
                <w:b/>
                <w:sz w:val="21"/>
              </w:rPr>
            </w:pPr>
            <w:r w:rsidRPr="00715DE7">
              <w:rPr>
                <w:b/>
                <w:sz w:val="21"/>
              </w:rPr>
              <w:t>Inputs</w:t>
            </w:r>
          </w:p>
        </w:tc>
        <w:tc>
          <w:tcPr>
            <w:tcW w:w="4000" w:type="dxa"/>
            <w:shd w:val="clear" w:color="auto" w:fill="D9D9D9"/>
          </w:tcPr>
          <w:p w14:paraId="5E11057E" w14:textId="7491CD87" w:rsidR="00715DE7" w:rsidRPr="00715DE7" w:rsidRDefault="00715DE7" w:rsidP="00715DE7">
            <w:pPr>
              <w:spacing w:after="40" w:line="240" w:lineRule="auto"/>
              <w:rPr>
                <w:b/>
                <w:sz w:val="21"/>
              </w:rPr>
            </w:pPr>
            <w:r w:rsidRPr="00715DE7">
              <w:rPr>
                <w:b/>
                <w:sz w:val="21"/>
              </w:rPr>
              <w:t>Training</w:t>
            </w:r>
          </w:p>
        </w:tc>
      </w:tr>
      <w:tr w:rsidR="00715DE7" w:rsidRPr="00715DE7" w14:paraId="3E503E64" w14:textId="77777777" w:rsidTr="00715DE7">
        <w:tblPrEx>
          <w:tblCellMar>
            <w:top w:w="0" w:type="dxa"/>
            <w:bottom w:w="0" w:type="dxa"/>
          </w:tblCellMar>
        </w:tblPrEx>
        <w:tc>
          <w:tcPr>
            <w:tcW w:w="1800" w:type="dxa"/>
          </w:tcPr>
          <w:p w14:paraId="54529F7F" w14:textId="1886A82F" w:rsidR="00715DE7" w:rsidRPr="00715DE7" w:rsidRDefault="00715DE7" w:rsidP="00715DE7">
            <w:pPr>
              <w:spacing w:after="40" w:line="240" w:lineRule="auto"/>
              <w:rPr>
                <w:sz w:val="21"/>
              </w:rPr>
            </w:pPr>
            <w:r>
              <w:rPr>
                <w:sz w:val="21"/>
              </w:rPr>
              <w:t>A - released model</w:t>
            </w:r>
          </w:p>
        </w:tc>
        <w:tc>
          <w:tcPr>
            <w:tcW w:w="3400" w:type="dxa"/>
          </w:tcPr>
          <w:p w14:paraId="00BDB337" w14:textId="00EEDB89" w:rsidR="00715DE7" w:rsidRPr="00715DE7" w:rsidRDefault="00715DE7" w:rsidP="00715DE7">
            <w:pPr>
              <w:spacing w:after="40" w:line="240" w:lineRule="auto"/>
              <w:rPr>
                <w:sz w:val="21"/>
              </w:rPr>
            </w:pPr>
            <w:r>
              <w:rPr>
                <w:sz w:val="21"/>
              </w:rPr>
              <w:t>F4 (18 gas features)</w:t>
            </w:r>
          </w:p>
        </w:tc>
        <w:tc>
          <w:tcPr>
            <w:tcW w:w="4000" w:type="dxa"/>
          </w:tcPr>
          <w:p w14:paraId="089103ED" w14:textId="6668BCAE" w:rsidR="00715DE7" w:rsidRPr="00715DE7" w:rsidRDefault="00715DE7" w:rsidP="00715DE7">
            <w:pPr>
              <w:spacing w:after="40" w:line="240" w:lineRule="auto"/>
              <w:rPr>
                <w:sz w:val="21"/>
              </w:rPr>
            </w:pPr>
            <w:r>
              <w:rPr>
                <w:sz w:val="21"/>
              </w:rPr>
              <w:t>dga_model_v1 unchanged (trained on DISTRAIN, Step 22); output T1 and T2 merged. Not applicable when DISTRAIN is held out.</w:t>
            </w:r>
          </w:p>
        </w:tc>
      </w:tr>
      <w:tr w:rsidR="00715DE7" w:rsidRPr="00715DE7" w14:paraId="1ECAC431" w14:textId="77777777" w:rsidTr="00715DE7">
        <w:tblPrEx>
          <w:tblCellMar>
            <w:top w:w="0" w:type="dxa"/>
            <w:bottom w:w="0" w:type="dxa"/>
          </w:tblCellMar>
        </w:tblPrEx>
        <w:tc>
          <w:tcPr>
            <w:tcW w:w="1800" w:type="dxa"/>
          </w:tcPr>
          <w:p w14:paraId="27765683" w14:textId="5B1B5BF7" w:rsidR="00715DE7" w:rsidRPr="00715DE7" w:rsidRDefault="00715DE7" w:rsidP="00715DE7">
            <w:pPr>
              <w:spacing w:after="40" w:line="240" w:lineRule="auto"/>
              <w:rPr>
                <w:sz w:val="21"/>
              </w:rPr>
            </w:pPr>
            <w:r>
              <w:rPr>
                <w:sz w:val="21"/>
              </w:rPr>
              <w:t>B - pooled</w:t>
            </w:r>
          </w:p>
        </w:tc>
        <w:tc>
          <w:tcPr>
            <w:tcW w:w="3400" w:type="dxa"/>
          </w:tcPr>
          <w:p w14:paraId="01E1A906" w14:textId="43A40898" w:rsidR="00715DE7" w:rsidRPr="00715DE7" w:rsidRDefault="00715DE7" w:rsidP="00715DE7">
            <w:pPr>
              <w:spacing w:after="40" w:line="240" w:lineRule="auto"/>
              <w:rPr>
                <w:sz w:val="21"/>
              </w:rPr>
            </w:pPr>
            <w:r>
              <w:rPr>
                <w:sz w:val="21"/>
              </w:rPr>
              <w:t>F4 (18 gas features)</w:t>
            </w:r>
          </w:p>
        </w:tc>
        <w:tc>
          <w:tcPr>
            <w:tcW w:w="4000" w:type="dxa"/>
          </w:tcPr>
          <w:p w14:paraId="491DFEF4" w14:textId="06EA7E59" w:rsidR="00715DE7" w:rsidRPr="00715DE7" w:rsidRDefault="00715DE7" w:rsidP="00715DE7">
            <w:pPr>
              <w:spacing w:after="40" w:line="240" w:lineRule="auto"/>
              <w:rPr>
                <w:sz w:val="21"/>
              </w:rPr>
            </w:pPr>
            <w:r>
              <w:rPr>
                <w:sz w:val="21"/>
              </w:rPr>
              <w:t>Random Forest, 500 trees, balanced class weights, the same 9-point grid as Step 20; tuned by GridSearchCV with StratifiedGroupKFold(5) on the training sources (groups = pooled near-duplicate groups); macro-F1</w:t>
            </w:r>
          </w:p>
        </w:tc>
      </w:tr>
      <w:tr w:rsidR="00715DE7" w:rsidRPr="00715DE7" w14:paraId="69715069" w14:textId="77777777" w:rsidTr="00715DE7">
        <w:tblPrEx>
          <w:tblCellMar>
            <w:top w:w="0" w:type="dxa"/>
            <w:bottom w:w="0" w:type="dxa"/>
          </w:tblCellMar>
        </w:tblPrEx>
        <w:tc>
          <w:tcPr>
            <w:tcW w:w="1800" w:type="dxa"/>
          </w:tcPr>
          <w:p w14:paraId="63D54558" w14:textId="6CFDC89D" w:rsidR="00715DE7" w:rsidRPr="00715DE7" w:rsidRDefault="00715DE7" w:rsidP="00715DE7">
            <w:pPr>
              <w:spacing w:after="40" w:line="240" w:lineRule="auto"/>
              <w:rPr>
                <w:sz w:val="21"/>
              </w:rPr>
            </w:pPr>
            <w:r>
              <w:rPr>
                <w:sz w:val="21"/>
              </w:rPr>
              <w:t>C - hybrid</w:t>
            </w:r>
          </w:p>
        </w:tc>
        <w:tc>
          <w:tcPr>
            <w:tcW w:w="3400" w:type="dxa"/>
          </w:tcPr>
          <w:p w14:paraId="07D22DFE" w14:textId="5F061649" w:rsidR="00715DE7" w:rsidRPr="00715DE7" w:rsidRDefault="00715DE7" w:rsidP="00715DE7">
            <w:pPr>
              <w:spacing w:after="40" w:line="240" w:lineRule="auto"/>
              <w:rPr>
                <w:sz w:val="21"/>
              </w:rPr>
            </w:pPr>
            <w:r>
              <w:rPr>
                <w:sz w:val="21"/>
              </w:rPr>
              <w:t>F4 + conventional inputs: raw answer of IEC 60599, Rogers and Duval (one-hot, including ND, DT and D1/D2); upper and lower gate flags; the three boundary distances (infinite or undefined -&gt; training median plus a missing-value flag)</w:t>
            </w:r>
          </w:p>
        </w:tc>
        <w:tc>
          <w:tcPr>
            <w:tcW w:w="4000" w:type="dxa"/>
          </w:tcPr>
          <w:p w14:paraId="253B27C4" w14:textId="0791D40D" w:rsidR="00715DE7" w:rsidRPr="00715DE7" w:rsidRDefault="00715DE7" w:rsidP="00715DE7">
            <w:pPr>
              <w:spacing w:after="40" w:line="240" w:lineRule="auto"/>
              <w:rPr>
                <w:sz w:val="21"/>
              </w:rPr>
            </w:pPr>
            <w:r>
              <w:rPr>
                <w:sz w:val="21"/>
              </w:rPr>
              <w:t>as B</w:t>
            </w:r>
          </w:p>
        </w:tc>
      </w:tr>
      <w:tr w:rsidR="00715DE7" w:rsidRPr="00715DE7" w14:paraId="1B6AFE01" w14:textId="77777777" w:rsidTr="00715DE7">
        <w:tblPrEx>
          <w:tblCellMar>
            <w:top w:w="0" w:type="dxa"/>
            <w:bottom w:w="0" w:type="dxa"/>
          </w:tblCellMar>
        </w:tblPrEx>
        <w:tc>
          <w:tcPr>
            <w:tcW w:w="1800" w:type="dxa"/>
          </w:tcPr>
          <w:p w14:paraId="3B26AD8D" w14:textId="0080AEEC" w:rsidR="00715DE7" w:rsidRPr="00715DE7" w:rsidRDefault="00715DE7" w:rsidP="00715DE7">
            <w:pPr>
              <w:spacing w:after="40" w:line="240" w:lineRule="auto"/>
              <w:rPr>
                <w:sz w:val="21"/>
              </w:rPr>
            </w:pPr>
            <w:r>
              <w:rPr>
                <w:sz w:val="21"/>
              </w:rPr>
              <w:t>Conventional methods</w:t>
            </w:r>
          </w:p>
        </w:tc>
        <w:tc>
          <w:tcPr>
            <w:tcW w:w="3400" w:type="dxa"/>
          </w:tcPr>
          <w:p w14:paraId="55DCD928" w14:textId="63C3500D" w:rsidR="00715DE7" w:rsidRPr="00715DE7" w:rsidRDefault="00715DE7" w:rsidP="00715DE7">
            <w:pPr>
              <w:spacing w:after="40" w:line="240" w:lineRule="auto"/>
              <w:rPr>
                <w:sz w:val="21"/>
              </w:rPr>
            </w:pPr>
            <w:r>
              <w:rPr>
                <w:sz w:val="21"/>
              </w:rPr>
              <w:t>five gases</w:t>
            </w:r>
          </w:p>
        </w:tc>
        <w:tc>
          <w:tcPr>
            <w:tcW w:w="4000" w:type="dxa"/>
          </w:tcPr>
          <w:p w14:paraId="1483B2B1" w14:textId="56E2E507" w:rsidR="00715DE7" w:rsidRPr="00715DE7" w:rsidRDefault="00715DE7" w:rsidP="00715DE7">
            <w:pPr>
              <w:spacing w:after="40" w:line="240" w:lineRule="auto"/>
              <w:rPr>
                <w:sz w:val="21"/>
              </w:rPr>
            </w:pPr>
            <w:r>
              <w:rPr>
                <w:sz w:val="21"/>
              </w:rPr>
              <w:t>fixed rules of Steps 14-17; primary scoring of D25 (upper gate), merged classes</w:t>
            </w:r>
          </w:p>
        </w:tc>
      </w:tr>
    </w:tbl>
    <w:p w14:paraId="1EAD1BF6" w14:textId="59792ED5" w:rsidR="00715DE7" w:rsidRDefault="00715DE7" w:rsidP="00715DE7">
      <w:pPr>
        <w:ind w:left="420" w:hanging="280"/>
      </w:pPr>
      <w:r>
        <w:t>•  Seed: 20261012 (+ index of the held-out source). Everything that learns from data (imputer, scaler, class weights, tuning) is fitted on the training sources only. Sensitivity: equal total weight for each training source.</w:t>
      </w:r>
    </w:p>
    <w:p w14:paraId="2C60BA99" w14:textId="15E34FFC" w:rsidR="00715DE7" w:rsidRDefault="00715DE7" w:rsidP="00715DE7">
      <w:pPr>
        <w:ind w:left="420" w:hanging="280"/>
      </w:pPr>
      <w:r>
        <w:t>•  The conventional inputs of model C are computed from each record's own gases with the fixed standard tables, so they contain no information from labels.</w:t>
      </w:r>
    </w:p>
    <w:p w14:paraId="6B466072" w14:textId="05EEE12A" w:rsidR="00715DE7" w:rsidRDefault="00715DE7" w:rsidP="00715DE7">
      <w:pPr>
        <w:pStyle w:val="Heading1"/>
      </w:pPr>
      <w:r>
        <w:t>5. Measures and statistics</w:t>
      </w:r>
    </w:p>
    <w:p w14:paraId="2799DF85" w14:textId="5520C41C" w:rsidR="00715DE7" w:rsidRDefault="00715DE7" w:rsidP="00715DE7">
      <w:pPr>
        <w:ind w:left="420" w:hanging="280"/>
      </w:pPr>
      <w:r>
        <w:t>•  Primary measure: macro-F1 over the classes present in the held-out source. Secondary: strict accuracy, balanced accuracy, per-class F1.</w:t>
      </w:r>
    </w:p>
    <w:p w14:paraId="3F8DB58F" w14:textId="3A7B0052" w:rsidR="00715DE7" w:rsidRDefault="00715DE7" w:rsidP="00715DE7">
      <w:pPr>
        <w:ind w:left="420" w:hanging="280"/>
      </w:pPr>
      <w:r>
        <w:t>•  Intervals: Wilson for accuracy; stratified percentile bootstrap (B = 2000, records resampled within class, paired across models) for macro-F1 and for differences between models.</w:t>
      </w:r>
    </w:p>
    <w:p w14:paraId="698CD7D4" w14:textId="5B40D0A2" w:rsidR="00715DE7" w:rsidRDefault="00715DE7" w:rsidP="00715DE7">
      <w:pPr>
        <w:ind w:left="420" w:hanging="280"/>
      </w:pPr>
      <w:r>
        <w:t>•  Paired contrasts on each held-out source: B - A, C - B, and C against the conventional method with the highest strict accuracy on that source; McNemar (exact if b + c &lt; 25) with Holm over the contrasts of that source.</w:t>
      </w:r>
    </w:p>
    <w:p w14:paraId="29DFE796" w14:textId="0DC43286" w:rsidR="00715DE7" w:rsidRDefault="00715DE7" w:rsidP="00715DE7">
      <w:pPr>
        <w:pStyle w:val="Heading2"/>
      </w:pPr>
      <w:r>
        <w:t>Reject option (S2-Q3)</w:t>
      </w:r>
    </w:p>
    <w:p w14:paraId="480E4C4F" w14:textId="67924D96" w:rsidR="00715DE7" w:rsidRDefault="00715DE7" w:rsidP="00715DE7">
      <w:r>
        <w:t>The model gives an answer only when its largest class probability reaches a threshold; otherwise it gives no diagnosis (Chow, 1970).</w:t>
      </w:r>
    </w:p>
    <w:p w14:paraId="7F0451B1" w14:textId="1E0872EC" w:rsidR="00715DE7" w:rsidRPr="00715DE7" w:rsidRDefault="00715DE7" w:rsidP="00715DE7">
      <w:pPr>
        <w:rPr>
          <w:rFonts w:eastAsiaTheme="minorEastAsia"/>
        </w:rPr>
      </w:pPr>
      <m:oMathPara>
        <m:oMath>
          <m:eqArr>
            <m:eqArrPr>
              <m:maxDist m:val="1"/>
              <m:ctrlPr>
                <w:rPr>
                  <w:rFonts w:ascii="Cambria Math" w:hAnsi="Cambria Math"/>
                  <w:i/>
                </w:rPr>
              </m:ctrlPr>
            </m:eqArrPr>
            <m:e>
              <m:r>
                <m:rPr>
                  <m:nor/>
                </m:rPr>
                <w:rPr>
                  <w:rFonts w:ascii="Cambria Math" w:hAnsi="Cambria Math"/>
                </w:rPr>
                <m:t>Coverage</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1</m:t>
                  </m:r>
                  <m:d>
                    <m:dPr>
                      <m:begChr m:val="["/>
                      <m:endChr m:val="]"/>
                      <m:ctrlPr>
                        <w:rPr>
                          <w:rFonts w:ascii="Cambria Math" w:hAnsi="Cambria Math"/>
                          <w:i/>
                        </w:rPr>
                      </m:ctrlPr>
                    </m:d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ik</m:t>
                              </m:r>
                            </m:sub>
                          </m:sSub>
                          <m:ctrlPr>
                            <w:rPr>
                              <w:rFonts w:ascii="Cambria Math" w:hAnsi="Cambria Math"/>
                              <w:i/>
                            </w:rPr>
                          </m:ctrlPr>
                        </m:e>
                      </m:func>
                      <m:r>
                        <w:rPr>
                          <w:rFonts w:ascii="Cambria Math" w:hAnsi="Cambria Math"/>
                        </w:rPr>
                        <m:t>≥τ</m:t>
                      </m:r>
                    </m:e>
                  </m:d>
                </m:e>
              </m:nary>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sel</m:t>
                  </m:r>
                </m:sub>
              </m:sSub>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i</m:t>
                      </m:r>
                    </m:sub>
                    <m:sup/>
                    <m:e>
                      <m:r>
                        <w:rPr>
                          <w:rFonts w:ascii="Cambria Math" w:hAnsi="Cambria Math"/>
                        </w:rPr>
                        <m:t>1</m:t>
                      </m:r>
                      <m:d>
                        <m:dPr>
                          <m:begChr m:val="["/>
                          <m:endChr m:val="]"/>
                          <m:ctrlPr>
                            <w:rPr>
                              <w:rFonts w:ascii="Cambria Math" w:hAnsi="Cambria Math"/>
                              <w:i/>
                            </w:rPr>
                          </m:ctrlPr>
                        </m:d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ik</m:t>
                                  </m:r>
                                </m:sub>
                              </m:sSub>
                              <m:ctrlPr>
                                <w:rPr>
                                  <w:rFonts w:ascii="Cambria Math" w:hAnsi="Cambria Math"/>
                                  <w:i/>
                                </w:rPr>
                              </m:ctrlPr>
                            </m:e>
                          </m:func>
                          <m:r>
                            <w:rPr>
                              <w:rFonts w:ascii="Cambria Math" w:hAnsi="Cambria Math"/>
                            </w:rPr>
                            <m:t>≥τ</m:t>
                          </m:r>
                        </m:e>
                      </m:d>
                      <m:r>
                        <w:rPr>
                          <w:rFonts w:ascii="Cambria Math" w:hAnsi="Cambria Math" w:cs="Cambria Math"/>
                        </w:rPr>
                        <m:t>⋅</m:t>
                      </m:r>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cs="Times New Roman"/>
                                      <w:i/>
                                    </w:rPr>
                                  </m:ctrlPr>
                                </m:accPr>
                                <m:e>
                                  <m:r>
                                    <w:rPr>
                                      <w:rFonts w:ascii="Cambria Math" w:hAnsi="Cambria Math"/>
                                    </w:rPr>
                                    <m:t>y</m:t>
                                  </m:r>
                                  <m:ctrlPr>
                                    <w:rPr>
                                      <w:rFonts w:ascii="Cambria Math" w:hAnsi="Cambria Math"/>
                                      <w:i/>
                                    </w:rPr>
                                  </m:ctrlP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num>
                <m:den>
                  <m:nary>
                    <m:naryPr>
                      <m:chr m:val="∑"/>
                      <m:supHide m:val="1"/>
                      <m:ctrlPr>
                        <w:rPr>
                          <w:rFonts w:ascii="Cambria Math" w:hAnsi="Cambria Math" w:cs="Times New Roman"/>
                          <w:i/>
                        </w:rPr>
                      </m:ctrlPr>
                    </m:naryPr>
                    <m:sub>
                      <m:r>
                        <w:rPr>
                          <w:rFonts w:ascii="Cambria Math" w:hAnsi="Cambria Math"/>
                        </w:rPr>
                        <m:t>i</m:t>
                      </m:r>
                      <m:ctrlPr>
                        <w:rPr>
                          <w:rFonts w:ascii="Cambria Math" w:hAnsi="Cambria Math"/>
                          <w:i/>
                        </w:rPr>
                      </m:ctrlPr>
                    </m:sub>
                    <m:sup/>
                    <m:e>
                      <m:r>
                        <w:rPr>
                          <w:rFonts w:ascii="Cambria Math" w:hAnsi="Cambria Math"/>
                        </w:rPr>
                        <m:t>1</m:t>
                      </m:r>
                      <m:d>
                        <m:dPr>
                          <m:begChr m:val="["/>
                          <m:endChr m:val="]"/>
                          <m:ctrlPr>
                            <w:rPr>
                              <w:rFonts w:ascii="Cambria Math" w:hAnsi="Cambria Math"/>
                              <w:i/>
                            </w:rPr>
                          </m:ctrlPr>
                        </m:d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ik</m:t>
                                  </m:r>
                                </m:sub>
                              </m:sSub>
                              <m:ctrlPr>
                                <w:rPr>
                                  <w:rFonts w:ascii="Cambria Math" w:hAnsi="Cambria Math"/>
                                  <w:i/>
                                </w:rPr>
                              </m:ctrlPr>
                            </m:e>
                          </m:func>
                          <m:r>
                            <w:rPr>
                              <w:rFonts w:ascii="Cambria Math" w:hAnsi="Cambria Math" w:cs="Times New Roman"/>
                            </w:rPr>
                            <m:t>≥τ</m:t>
                          </m:r>
                        </m:e>
                      </m:d>
                    </m:e>
                  </m:nary>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0633F508" w14:textId="124BF76B" w:rsidR="00715DE7" w:rsidRDefault="00715DE7" w:rsidP="00715DE7">
      <w:pPr>
        <w:keepNext/>
        <w:spacing w:after="0"/>
      </w:pPr>
      <w:r>
        <w:t>where:</w:t>
      </w:r>
    </w:p>
    <w:p w14:paraId="783B176B" w14:textId="118A9451" w:rsidR="00715DE7" w:rsidRDefault="00715DE7" w:rsidP="00715DE7">
      <w:pPr>
        <w:spacing w:after="0"/>
        <w:ind w:left="920" w:hanging="480"/>
      </w:pPr>
      <m:oMath>
        <m:r>
          <w:rPr>
            <w:rFonts w:ascii="Cambria Math" w:hAnsi="Cambria Math"/>
          </w:rPr>
          <m:t>τ</m:t>
        </m:r>
      </m:oMath>
      <w:r>
        <w:t xml:space="preserve">  –  confidence threshold</w:t>
      </w:r>
    </w:p>
    <w:p w14:paraId="2F0BB5CD" w14:textId="6BBC8B1F" w:rsidR="00715DE7" w:rsidRDefault="00715DE7" w:rsidP="00715DE7">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ik</m:t>
            </m:r>
          </m:sub>
        </m:sSub>
      </m:oMath>
      <w:r>
        <w:t xml:space="preserve">  –  predicted probability of class k for record i</w:t>
      </w:r>
    </w:p>
    <w:p w14:paraId="64D16407" w14:textId="1A58C40F" w:rsidR="00715DE7" w:rsidRDefault="00715DE7" w:rsidP="00715DE7">
      <w:pPr>
        <w:spacing w:after="160"/>
        <w:ind w:left="920" w:hanging="480"/>
      </w:pPr>
      <m:oMath>
        <m:sSub>
          <m:sSubPr>
            <m:ctrlPr>
              <w:rPr>
                <w:rFonts w:ascii="Cambria Math" w:hAnsi="Cambria Math"/>
                <w:i/>
              </w:rPr>
            </m:ctrlPr>
          </m:sSubPr>
          <m:e>
            <m:r>
              <w:rPr>
                <w:rFonts w:ascii="Cambria Math" w:hAnsi="Cambria Math"/>
              </w:rPr>
              <m:t>A</m:t>
            </m:r>
          </m:e>
          <m:sub>
            <m:r>
              <w:rPr>
                <w:rFonts w:ascii="Cambria Math" w:hAnsi="Cambria Math"/>
              </w:rPr>
              <m:t>sel</m:t>
            </m:r>
          </m:sub>
        </m:sSub>
        <m:d>
          <m:dPr>
            <m:ctrlPr>
              <w:rPr>
                <w:rFonts w:ascii="Cambria Math" w:hAnsi="Cambria Math"/>
                <w:i/>
              </w:rPr>
            </m:ctrlPr>
          </m:dPr>
          <m:e>
            <m:r>
              <w:rPr>
                <w:rFonts w:ascii="Cambria Math" w:hAnsi="Cambria Math"/>
              </w:rPr>
              <m:t>τ</m:t>
            </m:r>
          </m:e>
        </m:d>
      </m:oMath>
      <w:r>
        <w:t xml:space="preserve">  –  accuracy on the records that receive an answer</w:t>
      </w:r>
    </w:p>
    <w:p w14:paraId="74728462" w14:textId="4306CCA1" w:rsidR="00715DE7" w:rsidRDefault="00715DE7" w:rsidP="00715DE7">
      <w:pPr>
        <w:ind w:left="420" w:hanging="280"/>
      </w:pPr>
      <w:r>
        <w:t>•  For each held-out source, τ is set so that the model's coverage equals the coverage of IEC 60599 (and, separately, of Rogers) on that source. Setting τ uses only the model's probabilities - never the true labels. The selective accuracy is then compared with the method's conditional accuracy (bootstrap CI of the difference). The full accuracy-coverage curve is also reported.</w:t>
      </w:r>
    </w:p>
    <w:p w14:paraId="4F9BCEE8" w14:textId="275D8D4C" w:rsidR="00715DE7" w:rsidRDefault="00715DE7" w:rsidP="00715DE7">
      <w:pPr>
        <w:pStyle w:val="Heading1"/>
      </w:pPr>
      <w:r>
        <w:t>6. Decision rules (fixed before the results)</w:t>
      </w:r>
    </w:p>
    <w:p w14:paraId="377B977A" w14:textId="1B6EFC56" w:rsidR="00715DE7" w:rsidRDefault="00715DE7" w:rsidP="00715DE7">
      <w:pPr>
        <w:ind w:left="420" w:hanging="280"/>
      </w:pPr>
      <w:r>
        <w:t>1.  Pooling helps (S2-Q1) if B - A &gt; 0 in macro-F1 with a 95 % bootstrap interval excluding 0 on at least 2 of the 3 external sources (DISTEST, IECTC10, LI2019).</w:t>
      </w:r>
    </w:p>
    <w:p w14:paraId="42710A45" w14:textId="05A3C32D" w:rsidR="00715DE7" w:rsidRDefault="00715DE7" w:rsidP="00715DE7">
      <w:pPr>
        <w:ind w:left="420" w:hanging="280"/>
      </w:pPr>
      <w:r>
        <w:t>2.  The hybrid helps (S2-Q2) if C - B &gt; 0 in macro-F1 with a 95 % interval excluding 0 on at least 2 of the 4 held-out sources.</w:t>
      </w:r>
    </w:p>
    <w:p w14:paraId="237F8FFE" w14:textId="6FC3CF9F" w:rsidR="00715DE7" w:rsidRDefault="00715DE7" w:rsidP="00715DE7">
      <w:pPr>
        <w:ind w:left="420" w:hanging="280"/>
      </w:pPr>
      <w:r>
        <w:t>3.  The reject option makes the model competitive (S2-Q3) if, at the coverage of IEC 60599, its selective accuracy is at least that method's conditional accuracy (interval of the difference not below 0) on at least 2 of the 3 external sources.</w:t>
      </w:r>
    </w:p>
    <w:p w14:paraId="30FC1D7A" w14:textId="53039069" w:rsidR="00715DE7" w:rsidRDefault="00715DE7" w:rsidP="00715DE7">
      <w:pPr>
        <w:ind w:left="420" w:hanging="280"/>
      </w:pPr>
      <w:r>
        <w:t>4.  Whatever the outcome, results are reported in full and as found, labelled exploratory, beside - never instead of - the confirmatory results.</w:t>
      </w:r>
    </w:p>
    <w:p w14:paraId="71788A19" w14:textId="3856C304" w:rsidR="00715DE7" w:rsidRDefault="00715DE7" w:rsidP="00715DE7">
      <w:pPr>
        <w:pStyle w:val="Heading1"/>
      </w:pPr>
      <w:r>
        <w:t>7. Outputs and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4600"/>
        <w:gridCol w:w="3400"/>
      </w:tblGrid>
      <w:tr w:rsidR="00715DE7" w:rsidRPr="00715DE7" w14:paraId="23D8635D" w14:textId="77777777" w:rsidTr="00715DE7">
        <w:tblPrEx>
          <w:tblCellMar>
            <w:top w:w="0" w:type="dxa"/>
            <w:bottom w:w="0" w:type="dxa"/>
          </w:tblCellMar>
        </w:tblPrEx>
        <w:trPr>
          <w:tblHeader/>
        </w:trPr>
        <w:tc>
          <w:tcPr>
            <w:tcW w:w="1200" w:type="dxa"/>
            <w:shd w:val="clear" w:color="auto" w:fill="D9D9D9"/>
          </w:tcPr>
          <w:p w14:paraId="0C86FD4A" w14:textId="4258352F" w:rsidR="00715DE7" w:rsidRPr="00715DE7" w:rsidRDefault="00715DE7" w:rsidP="00715DE7">
            <w:pPr>
              <w:spacing w:after="40" w:line="240" w:lineRule="auto"/>
              <w:rPr>
                <w:b/>
                <w:sz w:val="21"/>
              </w:rPr>
            </w:pPr>
            <w:r w:rsidRPr="00715DE7">
              <w:rPr>
                <w:b/>
                <w:sz w:val="21"/>
              </w:rPr>
              <w:t>Roadmap step</w:t>
            </w:r>
          </w:p>
        </w:tc>
        <w:tc>
          <w:tcPr>
            <w:tcW w:w="4600" w:type="dxa"/>
            <w:shd w:val="clear" w:color="auto" w:fill="D9D9D9"/>
          </w:tcPr>
          <w:p w14:paraId="31AFB95B" w14:textId="4CFD1D99" w:rsidR="00715DE7" w:rsidRPr="00715DE7" w:rsidRDefault="00715DE7" w:rsidP="00715DE7">
            <w:pPr>
              <w:spacing w:after="40" w:line="240" w:lineRule="auto"/>
              <w:rPr>
                <w:b/>
                <w:sz w:val="21"/>
              </w:rPr>
            </w:pPr>
            <w:r w:rsidRPr="00715DE7">
              <w:rPr>
                <w:b/>
                <w:sz w:val="21"/>
              </w:rPr>
              <w:t>Content</w:t>
            </w:r>
          </w:p>
        </w:tc>
        <w:tc>
          <w:tcPr>
            <w:tcW w:w="3400" w:type="dxa"/>
            <w:shd w:val="clear" w:color="auto" w:fill="D9D9D9"/>
          </w:tcPr>
          <w:p w14:paraId="3D6697C0" w14:textId="25654209" w:rsidR="00715DE7" w:rsidRPr="00715DE7" w:rsidRDefault="00715DE7" w:rsidP="00715DE7">
            <w:pPr>
              <w:spacing w:after="40" w:line="240" w:lineRule="auto"/>
              <w:rPr>
                <w:b/>
                <w:sz w:val="21"/>
              </w:rPr>
            </w:pPr>
            <w:r w:rsidRPr="00715DE7">
              <w:rPr>
                <w:b/>
                <w:sz w:val="21"/>
              </w:rPr>
              <w:t>Main output</w:t>
            </w:r>
          </w:p>
        </w:tc>
      </w:tr>
      <w:tr w:rsidR="00715DE7" w:rsidRPr="00715DE7" w14:paraId="3CFE5896" w14:textId="77777777" w:rsidTr="00715DE7">
        <w:tblPrEx>
          <w:tblCellMar>
            <w:top w:w="0" w:type="dxa"/>
            <w:bottom w:w="0" w:type="dxa"/>
          </w:tblCellMar>
        </w:tblPrEx>
        <w:tc>
          <w:tcPr>
            <w:tcW w:w="1200" w:type="dxa"/>
          </w:tcPr>
          <w:p w14:paraId="3F68AC9E" w14:textId="38A329BD" w:rsidR="00715DE7" w:rsidRPr="00715DE7" w:rsidRDefault="00715DE7" w:rsidP="00715DE7">
            <w:pPr>
              <w:spacing w:after="40" w:line="240" w:lineRule="auto"/>
              <w:rPr>
                <w:sz w:val="21"/>
              </w:rPr>
            </w:pPr>
            <w:r>
              <w:rPr>
                <w:sz w:val="21"/>
              </w:rPr>
              <w:t>31A</w:t>
            </w:r>
          </w:p>
        </w:tc>
        <w:tc>
          <w:tcPr>
            <w:tcW w:w="4600" w:type="dxa"/>
          </w:tcPr>
          <w:p w14:paraId="2DB30E54" w14:textId="668502A9" w:rsidR="00715DE7" w:rsidRPr="00715DE7" w:rsidRDefault="00715DE7" w:rsidP="00715DE7">
            <w:pPr>
              <w:spacing w:after="40" w:line="240" w:lineRule="auto"/>
              <w:rPr>
                <w:sz w:val="21"/>
              </w:rPr>
            </w:pPr>
            <w:r>
              <w:rPr>
                <w:sz w:val="21"/>
              </w:rPr>
              <w:t>This protocol (pre-registration)</w:t>
            </w:r>
          </w:p>
        </w:tc>
        <w:tc>
          <w:tcPr>
            <w:tcW w:w="3400" w:type="dxa"/>
          </w:tcPr>
          <w:p w14:paraId="493979B1" w14:textId="17C406C8" w:rsidR="00715DE7" w:rsidRPr="00715DE7" w:rsidRDefault="00715DE7" w:rsidP="00715DE7">
            <w:pPr>
              <w:spacing w:after="40" w:line="240" w:lineRule="auto"/>
              <w:rPr>
                <w:sz w:val="21"/>
              </w:rPr>
            </w:pPr>
            <w:r>
              <w:rPr>
                <w:sz w:val="21"/>
              </w:rPr>
              <w:t>00_Project_Admin/Study2_Protocol.docx; decision D28</w:t>
            </w:r>
          </w:p>
        </w:tc>
      </w:tr>
      <w:tr w:rsidR="00715DE7" w:rsidRPr="00715DE7" w14:paraId="07A00011" w14:textId="77777777" w:rsidTr="00715DE7">
        <w:tblPrEx>
          <w:tblCellMar>
            <w:top w:w="0" w:type="dxa"/>
            <w:bottom w:w="0" w:type="dxa"/>
          </w:tblCellMar>
        </w:tblPrEx>
        <w:tc>
          <w:tcPr>
            <w:tcW w:w="1200" w:type="dxa"/>
          </w:tcPr>
          <w:p w14:paraId="049951CE" w14:textId="5644E406" w:rsidR="00715DE7" w:rsidRPr="00715DE7" w:rsidRDefault="00715DE7" w:rsidP="00715DE7">
            <w:pPr>
              <w:spacing w:after="40" w:line="240" w:lineRule="auto"/>
              <w:rPr>
                <w:sz w:val="21"/>
              </w:rPr>
            </w:pPr>
            <w:r>
              <w:rPr>
                <w:sz w:val="21"/>
              </w:rPr>
              <w:t>31B</w:t>
            </w:r>
          </w:p>
        </w:tc>
        <w:tc>
          <w:tcPr>
            <w:tcW w:w="4600" w:type="dxa"/>
          </w:tcPr>
          <w:p w14:paraId="08E4011D" w14:textId="2BEC8AF4" w:rsidR="00715DE7" w:rsidRPr="00715DE7" w:rsidRDefault="00715DE7" w:rsidP="00715DE7">
            <w:pPr>
              <w:spacing w:after="40" w:line="240" w:lineRule="auto"/>
              <w:rPr>
                <w:sz w:val="21"/>
              </w:rPr>
            </w:pPr>
            <w:r>
              <w:rPr>
                <w:sz w:val="21"/>
              </w:rPr>
              <w:t>Build the pooled, deduplicated data set with groups and hybrid inputs</w:t>
            </w:r>
          </w:p>
        </w:tc>
        <w:tc>
          <w:tcPr>
            <w:tcW w:w="3400" w:type="dxa"/>
          </w:tcPr>
          <w:p w14:paraId="2E0B6EA2" w14:textId="2C9B8523" w:rsidR="00715DE7" w:rsidRPr="00715DE7" w:rsidRDefault="00715DE7" w:rsidP="00715DE7">
            <w:pPr>
              <w:spacing w:after="40" w:line="240" w:lineRule="auto"/>
              <w:rPr>
                <w:sz w:val="21"/>
              </w:rPr>
            </w:pPr>
            <w:r>
              <w:rPr>
                <w:sz w:val="21"/>
              </w:rPr>
              <w:t>03_Data/study2/study2_pooled.csv + SHA-256 manifest</w:t>
            </w:r>
          </w:p>
        </w:tc>
      </w:tr>
      <w:tr w:rsidR="00715DE7" w:rsidRPr="00715DE7" w14:paraId="3809FAC4" w14:textId="77777777" w:rsidTr="00715DE7">
        <w:tblPrEx>
          <w:tblCellMar>
            <w:top w:w="0" w:type="dxa"/>
            <w:bottom w:w="0" w:type="dxa"/>
          </w:tblCellMar>
        </w:tblPrEx>
        <w:tc>
          <w:tcPr>
            <w:tcW w:w="1200" w:type="dxa"/>
          </w:tcPr>
          <w:p w14:paraId="202F3D08" w14:textId="654F6907" w:rsidR="00715DE7" w:rsidRPr="00715DE7" w:rsidRDefault="00715DE7" w:rsidP="00715DE7">
            <w:pPr>
              <w:spacing w:after="40" w:line="240" w:lineRule="auto"/>
              <w:rPr>
                <w:sz w:val="21"/>
              </w:rPr>
            </w:pPr>
            <w:r>
              <w:rPr>
                <w:sz w:val="21"/>
              </w:rPr>
              <w:t>31C</w:t>
            </w:r>
          </w:p>
        </w:tc>
        <w:tc>
          <w:tcPr>
            <w:tcW w:w="4600" w:type="dxa"/>
          </w:tcPr>
          <w:p w14:paraId="4F451FDE" w14:textId="327D1F2A" w:rsidR="00715DE7" w:rsidRPr="00715DE7" w:rsidRDefault="00715DE7" w:rsidP="00715DE7">
            <w:pPr>
              <w:spacing w:after="40" w:line="240" w:lineRule="auto"/>
              <w:rPr>
                <w:sz w:val="21"/>
              </w:rPr>
            </w:pPr>
            <w:r>
              <w:rPr>
                <w:sz w:val="21"/>
              </w:rPr>
              <w:t>Leave-one-source-out training and prediction (models A, B, C)</w:t>
            </w:r>
          </w:p>
        </w:tc>
        <w:tc>
          <w:tcPr>
            <w:tcW w:w="3400" w:type="dxa"/>
          </w:tcPr>
          <w:p w14:paraId="29E457D3" w14:textId="05215E23" w:rsidR="00715DE7" w:rsidRPr="00715DE7" w:rsidRDefault="00715DE7" w:rsidP="00715DE7">
            <w:pPr>
              <w:spacing w:after="40" w:line="240" w:lineRule="auto"/>
              <w:rPr>
                <w:sz w:val="21"/>
              </w:rPr>
            </w:pPr>
            <w:r>
              <w:rPr>
                <w:sz w:val="21"/>
              </w:rPr>
              <w:t>07_Experiments/&lt;date&gt;_study2_loso/</w:t>
            </w:r>
          </w:p>
        </w:tc>
      </w:tr>
      <w:tr w:rsidR="00715DE7" w:rsidRPr="00715DE7" w14:paraId="61D32AAA" w14:textId="77777777" w:rsidTr="00715DE7">
        <w:tblPrEx>
          <w:tblCellMar>
            <w:top w:w="0" w:type="dxa"/>
            <w:bottom w:w="0" w:type="dxa"/>
          </w:tblCellMar>
        </w:tblPrEx>
        <w:tc>
          <w:tcPr>
            <w:tcW w:w="1200" w:type="dxa"/>
          </w:tcPr>
          <w:p w14:paraId="71E6051F" w14:textId="6C2509F4" w:rsidR="00715DE7" w:rsidRPr="00715DE7" w:rsidRDefault="00715DE7" w:rsidP="00715DE7">
            <w:pPr>
              <w:spacing w:after="40" w:line="240" w:lineRule="auto"/>
              <w:rPr>
                <w:sz w:val="21"/>
              </w:rPr>
            </w:pPr>
            <w:r>
              <w:rPr>
                <w:sz w:val="21"/>
              </w:rPr>
              <w:t>31D</w:t>
            </w:r>
          </w:p>
        </w:tc>
        <w:tc>
          <w:tcPr>
            <w:tcW w:w="4600" w:type="dxa"/>
          </w:tcPr>
          <w:p w14:paraId="205F60E3" w14:textId="63FBBA0B" w:rsidR="00715DE7" w:rsidRPr="00715DE7" w:rsidRDefault="00715DE7" w:rsidP="00715DE7">
            <w:pPr>
              <w:spacing w:after="40" w:line="240" w:lineRule="auto"/>
              <w:rPr>
                <w:sz w:val="21"/>
              </w:rPr>
            </w:pPr>
            <w:r>
              <w:rPr>
                <w:sz w:val="21"/>
              </w:rPr>
              <w:t>Measures, paired contrasts and reject option</w:t>
            </w:r>
          </w:p>
        </w:tc>
        <w:tc>
          <w:tcPr>
            <w:tcW w:w="3400" w:type="dxa"/>
          </w:tcPr>
          <w:p w14:paraId="0614AA3A" w14:textId="4B1D211F" w:rsidR="00715DE7" w:rsidRPr="00715DE7" w:rsidRDefault="00715DE7" w:rsidP="00715DE7">
            <w:pPr>
              <w:spacing w:after="40" w:line="240" w:lineRule="auto"/>
              <w:rPr>
                <w:sz w:val="21"/>
              </w:rPr>
            </w:pPr>
            <w:r>
              <w:rPr>
                <w:sz w:val="21"/>
              </w:rPr>
              <w:t>Tables 4.12-4.13; Figures 4.23-4.24</w:t>
            </w:r>
          </w:p>
        </w:tc>
      </w:tr>
      <w:tr w:rsidR="00715DE7" w:rsidRPr="00715DE7" w14:paraId="1647604B" w14:textId="77777777" w:rsidTr="00715DE7">
        <w:tblPrEx>
          <w:tblCellMar>
            <w:top w:w="0" w:type="dxa"/>
            <w:bottom w:w="0" w:type="dxa"/>
          </w:tblCellMar>
        </w:tblPrEx>
        <w:tc>
          <w:tcPr>
            <w:tcW w:w="1200" w:type="dxa"/>
          </w:tcPr>
          <w:p w14:paraId="7D18B36A" w14:textId="378C7608" w:rsidR="00715DE7" w:rsidRPr="00715DE7" w:rsidRDefault="00715DE7" w:rsidP="00715DE7">
            <w:pPr>
              <w:spacing w:after="40" w:line="240" w:lineRule="auto"/>
              <w:rPr>
                <w:sz w:val="21"/>
              </w:rPr>
            </w:pPr>
            <w:r>
              <w:rPr>
                <w:sz w:val="21"/>
              </w:rPr>
              <w:t>31E</w:t>
            </w:r>
          </w:p>
        </w:tc>
        <w:tc>
          <w:tcPr>
            <w:tcW w:w="4600" w:type="dxa"/>
          </w:tcPr>
          <w:p w14:paraId="37A7ECC8" w14:textId="2298ED98" w:rsidR="00715DE7" w:rsidRPr="00715DE7" w:rsidRDefault="00715DE7" w:rsidP="00715DE7">
            <w:pPr>
              <w:spacing w:after="40" w:line="240" w:lineRule="auto"/>
              <w:rPr>
                <w:sz w:val="21"/>
              </w:rPr>
            </w:pPr>
            <w:r>
              <w:rPr>
                <w:sz w:val="21"/>
              </w:rPr>
              <w:t>Interpretation against the decision rules</w:t>
            </w:r>
          </w:p>
        </w:tc>
        <w:tc>
          <w:tcPr>
            <w:tcW w:w="3400" w:type="dxa"/>
          </w:tcPr>
          <w:p w14:paraId="4033977D" w14:textId="5FDFAE24" w:rsidR="00715DE7" w:rsidRPr="00715DE7" w:rsidRDefault="00715DE7" w:rsidP="00715DE7">
            <w:pPr>
              <w:spacing w:after="40" w:line="240" w:lineRule="auto"/>
              <w:rPr>
                <w:sz w:val="21"/>
              </w:rPr>
            </w:pPr>
            <w:r>
              <w:rPr>
                <w:sz w:val="21"/>
              </w:rPr>
              <w:t>Study 2 report</w:t>
            </w:r>
          </w:p>
        </w:tc>
      </w:tr>
      <w:tr w:rsidR="00715DE7" w:rsidRPr="00715DE7" w14:paraId="32FD815A" w14:textId="77777777" w:rsidTr="00715DE7">
        <w:tblPrEx>
          <w:tblCellMar>
            <w:top w:w="0" w:type="dxa"/>
            <w:bottom w:w="0" w:type="dxa"/>
          </w:tblCellMar>
        </w:tblPrEx>
        <w:tc>
          <w:tcPr>
            <w:tcW w:w="1200" w:type="dxa"/>
          </w:tcPr>
          <w:p w14:paraId="4B45D478" w14:textId="232897B0" w:rsidR="00715DE7" w:rsidRPr="00715DE7" w:rsidRDefault="00715DE7" w:rsidP="00715DE7">
            <w:pPr>
              <w:spacing w:after="40" w:line="240" w:lineRule="auto"/>
              <w:rPr>
                <w:sz w:val="21"/>
              </w:rPr>
            </w:pPr>
            <w:r>
              <w:rPr>
                <w:sz w:val="21"/>
              </w:rPr>
              <w:t>31F</w:t>
            </w:r>
          </w:p>
        </w:tc>
        <w:tc>
          <w:tcPr>
            <w:tcW w:w="4600" w:type="dxa"/>
          </w:tcPr>
          <w:p w14:paraId="50F4D469" w14:textId="674FF109" w:rsidR="00715DE7" w:rsidRPr="00715DE7" w:rsidRDefault="00715DE7" w:rsidP="00715DE7">
            <w:pPr>
              <w:spacing w:after="40" w:line="240" w:lineRule="auto"/>
              <w:rPr>
                <w:sz w:val="21"/>
              </w:rPr>
            </w:pPr>
            <w:r>
              <w:rPr>
                <w:sz w:val="21"/>
              </w:rPr>
              <w:t>Search for a fresh confirmation data set (legitimate sources only)</w:t>
            </w:r>
          </w:p>
        </w:tc>
        <w:tc>
          <w:tcPr>
            <w:tcW w:w="3400" w:type="dxa"/>
          </w:tcPr>
          <w:p w14:paraId="5B85B1A9" w14:textId="00DEC5A8" w:rsidR="00715DE7" w:rsidRPr="00715DE7" w:rsidRDefault="00715DE7" w:rsidP="00715DE7">
            <w:pPr>
              <w:spacing w:after="40" w:line="240" w:lineRule="auto"/>
              <w:rPr>
                <w:sz w:val="21"/>
              </w:rPr>
            </w:pPr>
            <w:r>
              <w:rPr>
                <w:sz w:val="21"/>
              </w:rPr>
              <w:t>03_Data/provenance/study2_confirmation_search.md</w:t>
            </w:r>
          </w:p>
        </w:tc>
      </w:tr>
    </w:tbl>
    <w:p w14:paraId="31B9183C" w14:textId="7D517A45" w:rsidR="00715DE7" w:rsidRDefault="00715DE7" w:rsidP="00715DE7">
      <w:pPr>
        <w:pStyle w:val="Heading1"/>
      </w:pPr>
      <w:r>
        <w:t>8. References</w:t>
      </w:r>
    </w:p>
    <w:p w14:paraId="7BC016C3" w14:textId="133636D2" w:rsidR="00715DE7" w:rsidRDefault="00715DE7" w:rsidP="00715DE7">
      <w:pPr>
        <w:ind w:left="420" w:hanging="420"/>
      </w:pPr>
      <w:r>
        <w:t>C. Chow, "On optimum recognition error and reject tradeoff," IEEE Transactions on Information Theory, vol. 16, no. 1, pp. 41-46, 1970. doi: 10.1109/TIT.1970.1054406</w:t>
      </w:r>
    </w:p>
    <w:p w14:paraId="6F6AA5D6" w14:textId="6968F634" w:rsidR="00715DE7" w:rsidRDefault="00715DE7" w:rsidP="00715DE7">
      <w:pPr>
        <w:ind w:left="420" w:hanging="420"/>
      </w:pPr>
      <w:r>
        <w:t>B. Efron and R. J. Tibshirani, An Introduction to the Bootstrap. New York: Chapman and Hall, 1993.</w:t>
      </w:r>
    </w:p>
    <w:p w14:paraId="52431557" w14:textId="729681BF" w:rsidR="00715DE7" w:rsidRDefault="00715DE7" w:rsidP="00715DE7">
      <w:pPr>
        <w:ind w:left="420" w:hanging="420"/>
      </w:pPr>
      <w:r>
        <w:t>Q. McNemar, "Note on the sampling error of the difference between correlated proportions or percentages," Psychometrika, vol. 12, no. 2, pp. 153-157, 1947. doi: 10.1007/BF02295996</w:t>
      </w:r>
    </w:p>
    <w:p w14:paraId="4BB1420F" w14:textId="6A401456" w:rsidR="00715DE7" w:rsidRPr="00715DE7" w:rsidRDefault="00715DE7" w:rsidP="00715DE7">
      <w:pPr>
        <w:ind w:left="420" w:hanging="420"/>
      </w:pPr>
      <w:r>
        <w:t>S. Holm, "A simple sequentially rejective multiple test procedure," Scandinavian Journal of Statistics, vol. 6, no. 2, pp. 65-70, 1979.</w:t>
      </w:r>
    </w:p>
    <w:sectPr w:rsidR="00715DE7" w:rsidRPr="00715DE7" w:rsidSect="00715DE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E91B1" w14:textId="77777777" w:rsidR="00937268" w:rsidRDefault="00937268" w:rsidP="00715DE7">
      <w:pPr>
        <w:spacing w:after="0" w:line="240" w:lineRule="auto"/>
      </w:pPr>
      <w:r>
        <w:separator/>
      </w:r>
    </w:p>
  </w:endnote>
  <w:endnote w:type="continuationSeparator" w:id="0">
    <w:p w14:paraId="49DC62D1" w14:textId="77777777" w:rsidR="00937268" w:rsidRDefault="00937268" w:rsidP="00715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AFD5" w14:textId="77777777" w:rsidR="00715DE7" w:rsidRDefault="00715DE7" w:rsidP="002408E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E488B2E" w14:textId="77777777" w:rsidR="00715DE7" w:rsidRDefault="00715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5658" w14:textId="29815140" w:rsidR="00715DE7" w:rsidRDefault="00715DE7" w:rsidP="002408E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A7D973E" w14:textId="77777777" w:rsidR="00715DE7" w:rsidRDefault="00715D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C7BA" w14:textId="77777777" w:rsidR="00715DE7" w:rsidRDefault="00715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894F" w14:textId="77777777" w:rsidR="00937268" w:rsidRDefault="00937268" w:rsidP="00715DE7">
      <w:pPr>
        <w:spacing w:after="0" w:line="240" w:lineRule="auto"/>
      </w:pPr>
      <w:r>
        <w:separator/>
      </w:r>
    </w:p>
  </w:footnote>
  <w:footnote w:type="continuationSeparator" w:id="0">
    <w:p w14:paraId="2BE0DB8F" w14:textId="77777777" w:rsidR="00937268" w:rsidRDefault="00937268" w:rsidP="00715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69C6" w14:textId="77777777" w:rsidR="00715DE7" w:rsidRDefault="00715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8B28" w14:textId="77777777" w:rsidR="00715DE7" w:rsidRDefault="00715D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EC4F" w14:textId="77777777" w:rsidR="00715DE7" w:rsidRDefault="00715D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E7"/>
    <w:rsid w:val="002B162D"/>
    <w:rsid w:val="00715DE7"/>
    <w:rsid w:val="0093726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6D4C9"/>
  <w15:chartTrackingRefBased/>
  <w15:docId w15:val="{49AE86E3-D2D5-43BC-A2D6-49BFEA19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715DE7"/>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715DE7"/>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715DE7"/>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715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DE7"/>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715DE7"/>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715DE7"/>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715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DE7"/>
    <w:rPr>
      <w:rFonts w:eastAsiaTheme="majorEastAsia" w:cstheme="majorBidi"/>
      <w:color w:val="272727" w:themeColor="text1" w:themeTint="D8"/>
    </w:rPr>
  </w:style>
  <w:style w:type="paragraph" w:styleId="Title">
    <w:name w:val="Title"/>
    <w:basedOn w:val="Normal"/>
    <w:next w:val="Normal"/>
    <w:link w:val="TitleChar"/>
    <w:uiPriority w:val="10"/>
    <w:qFormat/>
    <w:rsid w:val="00715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DE7"/>
    <w:pPr>
      <w:spacing w:before="160"/>
      <w:jc w:val="center"/>
    </w:pPr>
    <w:rPr>
      <w:i/>
      <w:iCs/>
      <w:color w:val="404040" w:themeColor="text1" w:themeTint="BF"/>
    </w:rPr>
  </w:style>
  <w:style w:type="character" w:customStyle="1" w:styleId="QuoteChar">
    <w:name w:val="Quote Char"/>
    <w:basedOn w:val="DefaultParagraphFont"/>
    <w:link w:val="Quote"/>
    <w:uiPriority w:val="29"/>
    <w:rsid w:val="00715DE7"/>
    <w:rPr>
      <w:i/>
      <w:iCs/>
      <w:color w:val="404040" w:themeColor="text1" w:themeTint="BF"/>
    </w:rPr>
  </w:style>
  <w:style w:type="paragraph" w:styleId="ListParagraph">
    <w:name w:val="List Paragraph"/>
    <w:basedOn w:val="Normal"/>
    <w:uiPriority w:val="34"/>
    <w:qFormat/>
    <w:rsid w:val="00715DE7"/>
    <w:pPr>
      <w:ind w:left="720"/>
      <w:contextualSpacing/>
    </w:pPr>
  </w:style>
  <w:style w:type="character" w:styleId="IntenseEmphasis">
    <w:name w:val="Intense Emphasis"/>
    <w:basedOn w:val="DefaultParagraphFont"/>
    <w:uiPriority w:val="21"/>
    <w:qFormat/>
    <w:rsid w:val="00715DE7"/>
    <w:rPr>
      <w:i/>
      <w:iCs/>
      <w:color w:val="2F5496" w:themeColor="accent1" w:themeShade="BF"/>
    </w:rPr>
  </w:style>
  <w:style w:type="paragraph" w:styleId="IntenseQuote">
    <w:name w:val="Intense Quote"/>
    <w:basedOn w:val="Normal"/>
    <w:next w:val="Normal"/>
    <w:link w:val="IntenseQuoteChar"/>
    <w:uiPriority w:val="30"/>
    <w:qFormat/>
    <w:rsid w:val="00715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DE7"/>
    <w:rPr>
      <w:i/>
      <w:iCs/>
      <w:color w:val="2F5496" w:themeColor="accent1" w:themeShade="BF"/>
    </w:rPr>
  </w:style>
  <w:style w:type="character" w:styleId="IntenseReference">
    <w:name w:val="Intense Reference"/>
    <w:basedOn w:val="DefaultParagraphFont"/>
    <w:uiPriority w:val="32"/>
    <w:qFormat/>
    <w:rsid w:val="00715DE7"/>
    <w:rPr>
      <w:b/>
      <w:bCs/>
      <w:smallCaps/>
      <w:color w:val="2F5496" w:themeColor="accent1" w:themeShade="BF"/>
      <w:spacing w:val="5"/>
    </w:rPr>
  </w:style>
  <w:style w:type="paragraph" w:styleId="Header">
    <w:name w:val="header"/>
    <w:basedOn w:val="Normal"/>
    <w:link w:val="HeaderChar"/>
    <w:uiPriority w:val="99"/>
    <w:unhideWhenUsed/>
    <w:rsid w:val="00715D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DE7"/>
    <w:rPr>
      <w:rFonts w:ascii="Times New Roman" w:hAnsi="Times New Roman"/>
    </w:rPr>
  </w:style>
  <w:style w:type="paragraph" w:styleId="Footer">
    <w:name w:val="footer"/>
    <w:basedOn w:val="Normal"/>
    <w:link w:val="FooterChar"/>
    <w:uiPriority w:val="99"/>
    <w:unhideWhenUsed/>
    <w:rsid w:val="00715D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DE7"/>
    <w:rPr>
      <w:rFonts w:ascii="Times New Roman" w:hAnsi="Times New Roman"/>
    </w:rPr>
  </w:style>
  <w:style w:type="character" w:styleId="PageNumber">
    <w:name w:val="page number"/>
    <w:basedOn w:val="DefaultParagraphFont"/>
    <w:uiPriority w:val="99"/>
    <w:semiHidden/>
    <w:unhideWhenUsed/>
    <w:rsid w:val="00715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1335</Words>
  <Characters>7613</Characters>
  <Application>Microsoft Office Word</Application>
  <DocSecurity>0</DocSecurity>
  <Lines>63</Lines>
  <Paragraphs>17</Paragraphs>
  <ScaleCrop>false</ScaleCrop>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2026-10-12T16:24:00Z</dcterms:created>
  <dcterms:modified xsi:type="dcterms:W3CDTF">2026-10-12T16:24:00Z</dcterms:modified>
</cp:coreProperties>
</file>