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fldChar w:fldCharType="end"/>
      </w:r>
    </w:p>
    <w:p>
      <w:pPr/>
      <w:r>
        <w:rPr/>
        <w:t xml:space="preserve">Cuadro 1. Resumen de los individuos encontrados en el predio 1120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1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Valor Comercial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Ubicación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Individuos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Sum g (m2)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Vt (m3)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Vc (m3)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Comercial</w:t>
            </w:r>
          </w:p>
        </w:tc>
        <w:tc>
          <w:tcPr>
            <w:tcW w:w="3000" w:type="dxa"/>
          </w:tcPr>
          <w:p>
            <w:pPr/>
            <w:r>
              <w:rPr>
                <w:sz w:val="24"/>
                <w:szCs w:val="24"/>
              </w:rPr>
              <w:t xml:space="preserve">Fuera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53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5.21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44.96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5.72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Comercial</w:t>
            </w:r>
          </w:p>
        </w:tc>
        <w:tc>
          <w:tcPr>
            <w:tcW w:w="3000" w:type="dxa"/>
          </w:tcPr>
          <w:p>
            <w:pPr/>
            <w:r>
              <w:rPr>
                <w:sz w:val="24"/>
                <w:szCs w:val="24"/>
              </w:rPr>
              <w:t xml:space="preserve">Dentro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0.57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4.39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0.69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24"/>
                <w:szCs w:val="24"/>
              </w:rPr>
              <w:t xml:space="preserve">Subtotal CO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58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5.78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49.35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6.41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24"/>
                <w:szCs w:val="24"/>
              </w:rPr>
              <w:t xml:space="preserve">No Comercial</w:t>
            </w:r>
          </w:p>
        </w:tc>
        <w:tc>
          <w:tcPr>
            <w:tcW w:w="3000" w:type="dxa"/>
          </w:tcPr>
          <w:p>
            <w:pPr/>
            <w:r>
              <w:rPr>
                <w:sz w:val="24"/>
                <w:szCs w:val="24"/>
              </w:rPr>
              <w:t xml:space="preserve">Fuera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0.52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3.17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0.00</w:t>
            </w:r>
          </w:p>
        </w:tc>
      </w:tr>
      <w:tr>
        <w:trPr>
          <w:trHeight w:val="50" w:hRule="atLeast"/>
        </w:trPr>
        <w:tc>
          <w:tcPr>
            <w:tcW w:w="4000" w:type="dxa"/>
          </w:tcPr>
          <w:p>
            <w:pPr/>
            <w:r>
              <w:rPr>
                <w:sz w:val="24"/>
                <w:szCs w:val="24"/>
              </w:rPr>
              <w:t xml:space="preserve">No Comercial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</w:rPr>
              <w:t xml:space="preserve">Dentro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0.45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3.74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sz w:val="24"/>
                <w:szCs w:val="24"/>
              </w:rPr>
              <w:t xml:space="preserve">Subtotal NC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0.97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6.91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Total general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71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6.75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56.27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6.41</w:t>
            </w:r>
          </w:p>
        </w:tc>
      </w:tr>
    </w:tbl>
    <w:p/>
    <w:p>
      <w:pPr/>
      <w:r>
        <w:rPr/>
        <w:t xml:space="preserve">Cuadro 2. Distribución diamétrica (cm) del número de árboles dentro de la servidumbre del Predio 1120</w:t>
      </w:r>
    </w:p>
    <w:p/>
    <w:p>
      <w:pPr/>
      <w:r>
        <w:rPr/>
        <w:t xml:space="preserve">Distribución diamétrica (cm)</w:t>
      </w:r>
    </w:p>
    <w:p/>
    <w:tbl>
      <w:tblGrid>
        <w:gridCol w:w="1000" w:type="dxa"/>
        <w:gridCol w:w="1000" w:type="dxa"/>
        <w:gridCol w:w="1000" w:type="dxa"/>
        <w:gridCol w:w="50" w:type="dxa"/>
        <w:gridCol w:w="50" w:type="dxa"/>
        <w:gridCol w:w="50" w:type="dxa"/>
        <w:gridCol w:w="50" w:type="dxa"/>
        <w:gridCol w:w="50" w:type="dxa"/>
        <w:gridCol w:w="50" w:type="dxa"/>
        <w:gridCol w:w="50" w:type="dxa"/>
        <w:gridCol w:w="50" w:type="dxa"/>
        <w:gridCol w:w="50" w:type="dxa"/>
      </w:tblGrid>
      <w:tblPr>
        <w:tblStyle w:val="Cuadro 2"/>
      </w:tblP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Familia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10-19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</w:t>
            </w:r>
          </w:p>
        </w:tc>
      </w:tr>
      <w:tr>
        <w:trPr>
          <w:trHeight w:val="400" w:hRule="atLeast"/>
        </w:trPr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</w:tr>
      <w:tr>
        <w:trPr>
          <w:trHeight w:val="400" w:hRule="atLeast"/>
        </w:trPr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</w:t>
            </w:r>
          </w:p>
        </w:tc>
      </w:tr>
    </w:tbl>
    <w:p/>
    <w:p>
      <w:pPr/>
      <w:r>
        <w:rPr/>
        <w:t xml:space="preserve">Cuadro 3 Distribución diamétrica (cm) del área basal (m2) de los árboles dentro de la servidumbre del Predio 1120</w:t>
      </w:r>
    </w:p>
    <w:p/>
    <w:p>
      <w:pPr/>
      <w:r>
        <w:rPr/>
        <w:t xml:space="preserve">Distribución diamétrica (cm)</w:t>
      </w:r>
    </w:p>
    <w:p/>
    <w:tbl>
      <w:tblGrid>
        <w:gridCol w:w="4000" w:type="dxa"/>
        <w:gridCol w:w="4000" w:type="dxa"/>
        <w:gridCol w:w="4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3"/>
      </w:tblP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0.222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0.071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0.091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0.057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0.057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0.189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0.189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0.166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0.166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0.172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0.313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0.355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0.574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0.071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0.189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0.273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0.344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0.053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0.108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0.053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0.179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0.189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0.273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0.452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0.492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0.544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0.273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1.026</w:t>
            </w:r>
          </w:p>
        </w:tc>
      </w:tr>
    </w:tbl>
    <w:p/>
    <w:p>
      <w:pPr/>
      <w:r>
        <w:rPr/>
        <w:t xml:space="preserve">Cuadro 4. Distribución diamétrica (cm) del volumen total (m3) de los árboles dentro del servidumbre en el Predio  1120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4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0.592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1.143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0.509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0.654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0.654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0.378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1.358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1.358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1.496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1.496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0.97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1.797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2.854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4.395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1.471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2.97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0.774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0.774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1.283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1.471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3.744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1.193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3.08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4.325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8.139</w:t>
            </w:r>
          </w:p>
        </w:tc>
      </w:tr>
    </w:tbl>
    <w:p/>
    <w:p>
      <w:pPr/>
      <w:r>
        <w:rPr/>
        <w:t xml:space="preserve">Cuadro 5. Distribución diamétrica (cm) del volumen comercial (m3) de los árboles dentro de la servidumbre del Predio  1120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5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0.284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0.118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0.256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0.256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0.225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0.481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0.69</w:t>
            </w:r>
          </w:p>
        </w:tc>
      </w:tr>
    </w:tbl>
    <w:p/>
    <w:p/>
    <w:p>
      <w:pPr/>
      <w:r>
        <w:rPr/>
        <w:t xml:space="preserve">Cuadro 6. Distribución diamétrica (cm) del número de árboles en Área de Protección dentro de la servidumbre del Predio 1120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6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</w:t>
            </w:r>
          </w:p>
        </w:tc>
      </w:tr>
    </w:tbl>
    <w:p/>
    <w:p/>
    <w:p>
      <w:pPr/>
      <w:r>
        <w:rPr/>
        <w:t xml:space="preserve">Cuadro 7. Distribución diamétrica (cm) del volumen total (m3) de árboles en Área de Protección dentro de la servidumbre del Predio 1120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7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0.509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0.654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0.654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0.378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1.358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1.358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1.496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1.496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1.163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2.854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4.395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2.97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0.774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0.774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1.283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3.744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2.446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2.854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8.139</w:t>
            </w:r>
          </w:p>
        </w:tc>
      </w:tr>
    </w:tbl>
    <w:p/>
    <w:p>
      <w:pPr/>
      <w:r>
        <w:rPr/>
        <w:t xml:space="preserve">Cuadro 8. Distribución diamétrica (cm) del volumen comercial (m3) de árboles en Áreas de Protección dentro de la servidumbre del Predio 1120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8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0.118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0.256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0.256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0.225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0.481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0.69</w:t>
            </w:r>
          </w:p>
        </w:tc>
      </w:tr>
    </w:tbl>
    <w:p/>
    <w:p>
      <w:pPr/>
      <w:r>
        <w:rPr/>
        <w:t xml:space="preserve">Anexo 1. Árboles inventariados en el Predio  1120</w:t>
      </w:r>
    </w:p>
    <w:p/>
    <w:tbl>
      <w:tblGrid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</w:tblGrid>
      <w:tblPr>
        <w:tblStyle w:val="Anexo1"/>
      </w:tblP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Vano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Árbol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Cobertura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Comercial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Servidumbre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Área de Protección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Dap (cm)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Ht (m)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Hc (m)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 (m²)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Vt (m²)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Vc (m²)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Coord X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Coord Y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Albizia niopoides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 blanco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0.476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383261.014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1129589.661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Albizia niopoides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 blanco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0.914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383240.6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1129579.551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Malpighiaceae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Byrsonima crassifolia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Nance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383196.103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1129742.859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Malpighiaceae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Byrsonima crassifolia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Nance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383189.355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1129723.523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Malpighiaceae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Byrsonima crassifolia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Nance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0.264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383233.947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1129622.382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Caesalpinia eriostachys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Saino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382849.74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1130471.535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Caesalpinia eriostachys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Saino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382849.299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1130470.762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Bixaceae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Cochlospermum vitifolium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Poroporo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383198.124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1129691.083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0.594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383189.697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1129760.8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383199.505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1129744.396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383203.989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1129741.948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0.163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383222.834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1129708.147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383224.594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1129710.022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383182.97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1129747.769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0.635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383259.854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1129570.306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dentata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alba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383317.989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1129522.107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Dalgergia retusa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Cocobolo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0.272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383220.386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1129729.947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Dalgergia retusa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Cocobolo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383260.156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1129628.49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Dalgergia retusa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Cocobolo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383274.054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1129589.839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Dalgergia retusa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Cocobolo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383274.711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1129589.615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Dalgergia retusa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Cocobolo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383200.419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1129689.306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Enterolobium cyclocarpum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0.665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383190.862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1129748.517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Enterolobium cyclocarpum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4.384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0.448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383178.639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1129730.306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Enterolobium cyclocarpum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0.246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3.251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0.368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383183.187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1129713.919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Enterolobium cyclocarpum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4.977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0.503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383286.687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1129499.865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Rubiaceae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Genipa americana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Tapa culo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0.369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383240.997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1129600.346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383056.366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1130065.438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383062.219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1130046.282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383129.913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1129906.57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383163.703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1129852.587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0.733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383176.959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1129818.916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383015.322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1130079.29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383125.118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1129848.29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1.188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383171.168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1129757.321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Godmania aescuilifolia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blanco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383196.11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1129744.96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0.654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382854.217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1130433.689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Handroanthus ochraceus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amarillo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0.344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383211.194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1129733.517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0.299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383161.099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1129860.671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1.357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383196.759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1129775.71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1.206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0.179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383199.367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1129768.843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383203.327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1129740.291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383212.176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1129732.518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383223.049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1129706.819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4.721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383176.162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1129743.367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383202.232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1129740.737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0.206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383244.028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1129655.423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383245.014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1129655.531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383245.779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1129654.975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383304.134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1129540.626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383192.288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1129715.659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383240.247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1129605.437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383240.349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1129603.113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383249.192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1129593.461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Lysiloma divoricatum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Quebracho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1.471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383220.714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1129729.725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Lysiloma divoricatum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Quebracho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383197.015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1129687.104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Lysiloma divoricatum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Quebracho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0.273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2.461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383201.03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1129675.366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Moraceae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Maclura tinctoria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mora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0.378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382865.745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1130473.916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0.774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382865.426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1130476.682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383270.789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1129596.708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382849.743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1130472.42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382849.189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1130470.763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383191.683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1129731.48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0.177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383191.683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1129731.48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Pochota fendleri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Pochote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1.358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382867.718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1130473.909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0.283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3.054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383199.471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1129767.183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1.413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382855.401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1130460.344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1.089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383284.962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1129508.388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1.032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383285.29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1129508.056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0.866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383286.057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1129508.053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Tabebuia rosea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Roble de sabana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383204.655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1129744.49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Combretaceae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Terminalia oblonga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Guayabón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1.496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382869.47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1130473.682</w:t>
            </w:r>
          </w:p>
        </w:tc>
      </w:tr>
    </w:tbl>
    <w:p/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" w:hAnsi="Times New Roma" w:eastAsia="Times New Roma" w:cs="Times New Roma"/>
        <w:sz w:val="32"/>
        <w:szCs w:val="32"/>
        <w:lang w:val="en-US"/>
      </w:rPr>
    </w:rPrDefault>
  </w:docDefaults>
  <w:style w:type="paragraph" w:default="1" w:styleId="Normal">
    <w:name w:val="Normal"/>
    <w:pPr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uadro 1">
    <w:name w:val="Cuadro 1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2">
    <w:name w:val="Cuadro 2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3">
    <w:name w:val="Cuadro 3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4">
    <w:name w:val="Cuadro4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5">
    <w:name w:val="Cuadro 5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6">
    <w:name w:val="Cuadro 6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7">
    <w:name w:val="Cuadro7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8">
    <w:name w:val="Cuadro8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Anexo1">
    <w:name w:val="Anexo1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2022-01-21T08:02:04+00:00</dcterms:created>
  <dcterms:modified xsi:type="dcterms:W3CDTF">2022-01-21T08:02:04+00:00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