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sz w:val="32"/>
        </w:rPr>
        <w:t>Reconstructing the Ur III Grain Economy from 135,000 Cuneiform Tablets:</w:t>
        <w:br/>
        <w:t>A Rule-Based Extraction Pipeline and Exploratory Analysis</w:t>
      </w:r>
    </w:p>
    <w:p>
      <w:pPr>
        <w:spacing w:after="40"/>
        <w:jc w:val="center"/>
      </w:pPr>
      <w:r>
        <w:rPr>
          <w:i/>
          <w:sz w:val="22"/>
        </w:rPr>
        <w:t>A computational study of the CDLI Ur III administrative corpus (c. 2100–2000 BCE)</w:t>
      </w:r>
    </w:p>
    <w:p>
      <w:pPr>
        <w:spacing w:before="160" w:after="40"/>
        <w:jc w:val="center"/>
      </w:pPr>
      <w:r>
        <w:rPr>
          <w:b/>
          <w:sz w:val="24"/>
        </w:rPr>
        <w:t>Daniel Asaro</w:t>
      </w:r>
    </w:p>
    <w:p>
      <w:pPr>
        <w:spacing w:after="280"/>
        <w:jc w:val="center"/>
      </w:pPr>
      <w:r>
        <w:rPr>
          <w:color w:val="6A6453"/>
          <w:sz w:val="20"/>
        </w:rPr>
        <w:t>Computational Assyriology · asarodan/sumer</w:t>
      </w:r>
    </w:p>
    <w:p>
      <w:pPr>
        <w:spacing w:before="80" w:after="80"/>
      </w:pPr>
      <w:r>
        <w:rPr>
          <w:b/>
          <w:sz w:val="22"/>
        </w:rPr>
        <w:t>Abstract</w:t>
      </w:r>
    </w:p>
    <w:p>
      <w:pPr>
        <w:spacing w:after="80"/>
        <w:ind w:left="432" w:right="432"/>
      </w:pPr>
      <w:r>
        <w:rPr>
          <w:sz w:val="22"/>
        </w:rPr>
        <w:t>The Third Dynasty of Ur (Ur III, c. 2112–2004 BCE) produced one of the most</w:t>
        <w:br/>
        <w:t>densely documented administrative economies of the ancient world. We present a</w:t>
        <w:br/>
        <w:t>deterministic, rule-based pipeline that parses the full Cuneiform Digital</w:t>
        <w:br/>
        <w:t>Library Initiative (CDLI) bulk export of135,199 Ur III tabletsin transliterated ATF form and extracts220,034 quantified economic</w:t>
        <w:br/>
        <w:t>transactionsacross nine commodity classes, together with a hierarchical</w:t>
        <w:br/>
        <w:t>record structure (72,119 records, 242,381 line-entries) and a prosopographic</w:t>
        <w:br/>
        <w:t>index of 32,493 named agents. Converting the Sumerian sexagesimal capacity</w:t>
        <w:br/>
        <w:t>system to a common unit, the corpus accounts for2.275 million</w:t>
        <w:br/>
        <w:t>gurof cereal grain (on the order of 400,000 metric tonnes),</w:t>
        <w:br/>
        <w:t>of which barley alone constitutes 1.957 milliongur(86% of all</w:t>
        <w:br/>
        <w:t>capacity-measured volume). Exploratory data analysis shows that transaction</w:t>
        <w:br/>
        <w:t>sizes are approximately log-normal in their body (median = 300 sila₃ =</w:t>
        <w:br/>
        <w:t>1gur) with an extreme heavy tail: the largest 1% of transactions carry</w:t>
        <w:br/>
        <w:t>over half of all volume. A barley-flow network of 1,894 agents reveals a single</w:t>
        <w:br/>
        <w:t>dominant component organised around provincial household managers</w:t>
        <w:br/>
        <w:t>(šabra) acting as brokers and the royal granary as principal</w:t>
        <w:br/>
        <w:t>sink. We give particular attention to themethodology of false-positive</w:t>
        <w:br/>
        <w:t>control: the chief technical difficulty in mass cuneiform extraction is not</w:t>
        <w:br/>
        <w:t>parsing grain lines but distinguishing them from the orthographically identical</w:t>
        <w:br/>
        <w:t>lines that record onions, reed bundles, livestock, silver, and balance</w:t>
        <w:br/>
        <w:t>carry-forwards. We document a corpus of 120 filtering rules, validated by 144</w:t>
        <w:br/>
        <w:t>regression tests, that reduced spurious grain volume by roughly 0.96 milliongur(26%) relative to a naïve baseline.</w:t>
      </w:r>
      <w:r>
        <w:rPr>
          <w:b/>
          <w:sz w:val="22"/>
        </w:rPr>
      </w:r>
      <w:r>
        <w:rPr>
          <w:sz w:val="22"/>
        </w:rPr>
      </w:r>
      <w:r>
        <w:rPr>
          <w:b/>
          <w:sz w:val="22"/>
        </w:rPr>
      </w:r>
      <w:r>
        <w:rPr>
          <w:sz w:val="22"/>
        </w:rPr>
      </w:r>
      <w:r>
        <w:rPr>
          <w:b/>
          <w:sz w:val="22"/>
        </w:rPr>
      </w:r>
      <w:r>
        <w:rPr>
          <w:sz w:val="22"/>
        </w:rPr>
      </w:r>
      <w:r>
        <w:rPr>
          <w:i/>
          <w:sz w:val="22"/>
        </w:rPr>
      </w:r>
      <w:r>
        <w:rPr>
          <w:sz w:val="22"/>
        </w:rPr>
      </w:r>
      <w:r>
        <w:rPr>
          <w:i/>
          <w:sz w:val="22"/>
        </w:rPr>
      </w:r>
      <w:r>
        <w:rPr>
          <w:sz w:val="22"/>
        </w:rPr>
      </w:r>
      <w:r>
        <w:rPr>
          <w:i/>
          <w:sz w:val="22"/>
        </w:rPr>
      </w:r>
      <w:r>
        <w:rPr>
          <w:sz w:val="22"/>
        </w:rPr>
      </w:r>
      <w:r>
        <w:rPr>
          <w:i/>
          <w:sz w:val="22"/>
        </w:rPr>
      </w:r>
      <w:r>
        <w:rPr>
          <w:sz w:val="22"/>
        </w:rPr>
      </w:r>
      <w:r>
        <w:rPr>
          <w:i/>
          <w:sz w:val="22"/>
        </w:rPr>
      </w:r>
      <w:r>
        <w:rPr>
          <w:sz w:val="22"/>
        </w:rPr>
      </w:r>
    </w:p>
    <w:p>
      <w:pPr>
        <w:spacing w:after="280"/>
        <w:ind w:left="432" w:right="432"/>
      </w:pPr>
      <w:r>
        <w:rPr>
          <w:color w:val="6A6453"/>
          <w:sz w:val="19"/>
        </w:rPr>
        <w:t>Keywords: Ur III, computational Assyriology, information</w:t>
        <w:br/>
        <w:t>extraction, economic history, cuneiform, ATF, network analysis, log-normal distribution</w:t>
      </w:r>
    </w:p>
    <w:p>
      <w:pPr>
        <w:spacing w:before="280" w:after="120"/>
        <w:pBdr>
          <w:bottom w:val="single" w:sz="6" w:space="1" w:color="B8860B"/>
        </w:pBdr>
      </w:pPr>
      <w:r>
        <w:rPr>
          <w:b/>
          <w:color w:val="5A3A12"/>
          <w:sz w:val="26"/>
        </w:rPr>
        <w:t>1. Introduction</w:t>
      </w:r>
    </w:p>
    <w:p>
      <w:pPr>
        <w:spacing w:after="140"/>
        <w:jc w:val="both"/>
      </w:pPr>
      <w:r>
        <w:rPr>
          <w:sz w:val="22"/>
        </w:rPr>
        <w:t>The Ur III state bequeathed posterity an administrative habit of almost</w:t>
        <w:br/>
        <w:t>pathological thoroughness. Scribes recorded the issue of a single sheep, the</w:t>
        <w:br/>
        <w:t>seed-grain for a field, the beer ration of a messenger, and the annual balance</w:t>
        <w:br/>
        <w:t>of a granary on small clay tablets, tens of thousands of which survive. The</w:t>
        <w:br/>
        <w:t>Cuneiform Digital Library Initiative (CDLI) has transliterated this material</w:t>
        <w:br/>
        <w:t>into the machine-readable ATF (ASCII Transliteration Format) standard, creating</w:t>
        <w:br/>
        <w:t>an opportunity to study an ancient economy at a transaction-level granularity</w:t>
        <w:br/>
        <w:t>that is unavailable for any other period before the late medieval era.</w:t>
      </w:r>
    </w:p>
    <w:p>
      <w:pPr>
        <w:spacing w:after="140"/>
        <w:jc w:val="both"/>
      </w:pPr>
      <w:r>
        <w:rPr>
          <w:sz w:val="22"/>
        </w:rPr>
        <w:t>Yet the corpus resists naïve quantification. A line such as</w:t>
      </w:r>
      <w:r>
        <w:rPr>
          <w:rFonts w:ascii="Courier New" w:hAnsi="Courier New"/>
          <w:sz w:val="19"/>
        </w:rPr>
        <w:t>2(aš) gur</w:t>
      </w:r>
      <w:r>
        <w:rPr>
          <w:sz w:val="22"/>
        </w:rPr>
        <w:t>denotes two</w:t>
      </w:r>
      <w:r>
        <w:rPr>
          <w:i/>
          <w:sz w:val="22"/>
        </w:rPr>
        <w:t>gur</w:t>
      </w:r>
      <w:r>
        <w:rPr>
          <w:sz w:val="22"/>
        </w:rPr>
        <w:t>of barley; the</w:t>
        <w:br/>
        <w:t>visually parallel</w:t>
      </w:r>
      <w:r>
        <w:rPr>
          <w:rFonts w:ascii="Courier New" w:hAnsi="Courier New"/>
          <w:sz w:val="19"/>
        </w:rPr>
        <w:t>2(aš) sa gi</w:t>
      </w:r>
      <w:r>
        <w:rPr>
          <w:sz w:val="22"/>
        </w:rPr>
        <w:t>denotes two bundles of reed,</w:t>
        <w:br/>
        <w:t>and</w:t>
      </w:r>
      <w:r>
        <w:rPr>
          <w:rFonts w:ascii="Courier New" w:hAnsi="Courier New"/>
          <w:sz w:val="19"/>
        </w:rPr>
        <w:t>2(aš) gu₄</w:t>
      </w:r>
      <w:r>
        <w:rPr>
          <w:sz w:val="22"/>
        </w:rPr>
        <w:t>two head of cattle. The same numeral</w:t>
        <w:br/>
        <w:t>classifiers, the same sexagesimal place-values, and the same scribal hand</w:t>
        <w:br/>
        <w:t>serve grain, garlic, silver, and labour alike. A parser that simply harvests</w:t>
        <w:br/>
        <w:t>every numeral followed by a capacity unit over-counts grain by hundreds of</w:t>
        <w:br/>
        <w:t>thousands of</w:t>
      </w:r>
      <w:r>
        <w:rPr>
          <w:i/>
          <w:sz w:val="22"/>
        </w:rPr>
        <w:t>gur</w:t>
      </w:r>
      <w:r>
        <w:rPr>
          <w:sz w:val="22"/>
        </w:rPr>
        <w:t>. The central methodological claim of this paper is</w:t>
        <w:br/>
        <w:t>that</w:t>
      </w:r>
      <w:r>
        <w:rPr>
          <w:i/>
          <w:sz w:val="22"/>
        </w:rPr>
        <w:t>reliable extraction is dominated by the problem of negative</w:t>
        <w:br/>
        <w:t>classification</w:t>
      </w:r>
      <w:r>
        <w:rPr>
          <w:sz w:val="22"/>
        </w:rPr>
        <w:t>—of knowing what is</w:t>
      </w:r>
      <w:r>
        <w:rPr>
          <w:i/>
          <w:sz w:val="22"/>
        </w:rPr>
        <w:t>not</w:t>
      </w:r>
      <w:r>
        <w:rPr>
          <w:sz w:val="22"/>
        </w:rPr>
        <w:t>grain—and that this problem</w:t>
        <w:br/>
        <w:t>is tractable with a disciplined, test-driven body of linguistic rules.</w:t>
      </w:r>
    </w:p>
    <w:p>
      <w:pPr>
        <w:spacing w:after="140"/>
        <w:jc w:val="both"/>
      </w:pPr>
      <w:r>
        <w:rPr>
          <w:sz w:val="22"/>
        </w:rPr>
        <w:t>We make three contributions. First, a complete and reproducible extraction</w:t>
        <w:br/>
        <w:t>pipeline (§3) that turns raw ATF into typed, dated, attributed transactions.</w:t>
        <w:br/>
        <w:t>Second, an exploratory statistical portrait of the Ur III grain economy (§4–§5)</w:t>
        <w:br/>
        <w:t>covering volume, concentration, temporality, and exchange structure. Third, an</w:t>
        <w:br/>
        <w:t>explicit account of the false-positive-control methodology (§6) that we believe</w:t>
        <w:br/>
        <w:t>generalises to other mass-extraction efforts on noisy historical corpora.</w:t>
      </w:r>
    </w:p>
    <w:p>
      <w:pPr>
        <w:spacing w:before="280" w:after="120"/>
        <w:pBdr>
          <w:bottom w:val="single" w:sz="6" w:space="1" w:color="B8860B"/>
        </w:pBdr>
      </w:pPr>
      <w:r>
        <w:rPr>
          <w:b/>
          <w:color w:val="5A3A12"/>
          <w:sz w:val="26"/>
        </w:rPr>
        <w:t>2. The Corpus and the Measurement System</w:t>
      </w:r>
    </w:p>
    <w:p>
      <w:pPr>
        <w:spacing w:after="140"/>
        <w:jc w:val="both"/>
      </w:pPr>
      <w:r>
        <w:rPr>
          <w:sz w:val="22"/>
        </w:rPr>
        <w:t>Our source is the CDLI bulk ATF export, comprising 135,199 tablets</w:t>
        <w:br/>
        <w:t>classified as Ur III. Each tablet is a sequence of transliterated lines</w:t>
        <w:br/>
        <w:t>organised by surface (</w:t>
      </w:r>
      <w:r>
        <w:rPr>
          <w:rFonts w:ascii="Courier New" w:hAnsi="Courier New"/>
          <w:sz w:val="19"/>
        </w:rPr>
        <w:t>@obverse</w:t>
      </w:r>
      <w:r>
        <w:rPr>
          <w:sz w:val="22"/>
        </w:rPr>
        <w:t>,</w:t>
      </w:r>
      <w:r>
        <w:rPr>
          <w:rFonts w:ascii="Courier New" w:hAnsi="Courier New"/>
          <w:sz w:val="19"/>
        </w:rPr>
        <w:t>@reverse</w:t>
      </w:r>
      <w:r>
        <w:rPr>
          <w:sz w:val="22"/>
        </w:rPr>
        <w:t>) and column,</w:t>
        <w:br/>
        <w:t>with editorial markers for damage (</w:t>
      </w:r>
      <w:r>
        <w:rPr>
          <w:rFonts w:ascii="Courier New" w:hAnsi="Courier New"/>
          <w:sz w:val="19"/>
        </w:rPr>
        <w:t>[…]</w:t>
      </w:r>
      <w:r>
        <w:rPr>
          <w:sz w:val="22"/>
        </w:rPr>
        <w:t>), uncertain readings</w:t>
        <w:br/>
        <w:t>(</w:t>
      </w:r>
      <w:r>
        <w:rPr>
          <w:rFonts w:ascii="Courier New" w:hAnsi="Courier New"/>
          <w:sz w:val="19"/>
        </w:rPr>
        <w:t>?</w:t>
      </w:r>
      <w:r>
        <w:rPr>
          <w:sz w:val="22"/>
        </w:rPr>
        <w:t>,</w:t>
      </w:r>
      <w:r>
        <w:rPr>
          <w:rFonts w:ascii="Courier New" w:hAnsi="Courier New"/>
          <w:sz w:val="19"/>
        </w:rPr>
        <w:t>!</w:t>
      </w:r>
      <w:r>
        <w:rPr>
          <w:sz w:val="22"/>
        </w:rPr>
        <w:t>), and determinatives (</w:t>
      </w:r>
      <w:r>
        <w:rPr>
          <w:rFonts w:ascii="Courier New" w:hAnsi="Courier New"/>
          <w:sz w:val="19"/>
        </w:rPr>
        <w:t>{d}</w:t>
      </w:r>
      <w:r>
        <w:rPr>
          <w:sz w:val="22"/>
        </w:rPr>
        <w:t>divine,</w:t>
      </w:r>
      <w:r>
        <w:rPr>
          <w:rFonts w:ascii="Courier New" w:hAnsi="Courier New"/>
          <w:sz w:val="19"/>
        </w:rPr>
        <w:t>{ki}</w:t>
      </w:r>
      <w:r>
        <w:rPr>
          <w:sz w:val="22"/>
        </w:rPr>
        <w:t>place,</w:t>
      </w:r>
      <w:r>
        <w:rPr>
          <w:rFonts w:ascii="Courier New" w:hAnsi="Courier New"/>
          <w:sz w:val="19"/>
        </w:rPr>
        <w:t>{gesz}</w:t>
      </w:r>
      <w:r>
        <w:rPr>
          <w:sz w:val="22"/>
        </w:rPr>
        <w:t>wood).</w:t>
      </w:r>
    </w:p>
    <w:p>
      <w:pPr>
        <w:spacing w:after="140"/>
        <w:jc w:val="both"/>
      </w:pPr>
      <w:r>
        <w:rPr>
          <w:sz w:val="22"/>
        </w:rPr>
        <w:t>Capacity is recorded in the Sumerian sexagesimal grain system. The base unit</w:t>
        <w:br/>
        <w:t>is the</w:t>
      </w:r>
      <w:r>
        <w:rPr>
          <w:i/>
          <w:sz w:val="22"/>
        </w:rPr>
        <w:t>sila₃</w:t>
      </w:r>
      <w:r>
        <w:rPr>
          <w:sz w:val="22"/>
        </w:rPr>
        <w:t>(≈1 litre); the principal accounting unit is</w:t>
        <w:br/>
        <w:t>the</w:t>
      </w:r>
      <w:r>
        <w:rPr>
          <w:i/>
          <w:sz w:val="22"/>
        </w:rPr>
        <w:t>gur</w:t>
      </w:r>
      <w:r>
        <w:rPr>
          <w:sz w:val="22"/>
        </w:rPr>
        <w:t>= 300</w:t>
      </w:r>
      <w:r>
        <w:rPr>
          <w:i/>
          <w:sz w:val="22"/>
        </w:rPr>
        <w:t>sila₃</w:t>
      </w:r>
      <w:r>
        <w:rPr>
          <w:sz w:val="22"/>
        </w:rPr>
        <w:t>. Larger granary quantities use a</w:t>
        <w:br/>
        <w:t>nested sexagesimal scaffold (Table 1). Because these tokens multiply the gur by</w:t>
        <w:br/>
        <w:t>factors up to 216,000, a single mis-classified large-denomination line can</w:t>
        <w:br/>
        <w:t>inject tens of thousands of phantom</w:t>
      </w:r>
      <w:r>
        <w:rPr>
          <w:i/>
          <w:sz w:val="22"/>
        </w:rPr>
        <w:t>gur</w:t>
      </w:r>
      <w:r>
        <w:rPr>
          <w:sz w:val="22"/>
        </w:rPr>
        <w:t>—a fact that shapes the entire</w:t>
        <w:br/>
        <w:t>extraction strategy.</w:t>
      </w:r>
    </w:p>
    <w:p>
      <w:pPr>
        <w:spacing w:before="160" w:after="40"/>
      </w:pPr>
      <w:r>
        <w:rPr>
          <w:b/>
          <w:sz w:val="19"/>
        </w:rPr>
        <w:t>Table 1. The Ur III sexagesimal capacity system and its</w:t>
        <w:br/>
        <w:t>conversion to sila₃.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FE9DA"/>
          </w:tcPr>
          <w:p>
            <w:r>
              <w:rPr>
                <w:b/>
                <w:sz w:val="19"/>
              </w:rPr>
              <w:t>Token</w:t>
            </w:r>
          </w:p>
        </w:tc>
        <w:tc>
          <w:tcPr>
            <w:tcW w:type="dxa" w:w="1728"/>
            <w:shd w:val="clear" w:color="auto" w:fill="EFE9DA"/>
          </w:tcPr>
          <w:p>
            <w:r>
              <w:rPr>
                <w:b/>
                <w:sz w:val="19"/>
              </w:rPr>
              <w:t>Reading</w:t>
            </w:r>
          </w:p>
        </w:tc>
        <w:tc>
          <w:tcPr>
            <w:tcW w:type="dxa" w:w="1728"/>
            <w:shd w:val="clear" w:color="auto" w:fill="EFE9DA"/>
          </w:tcPr>
          <w:p>
            <w:r>
              <w:rPr>
                <w:b/>
                <w:sz w:val="19"/>
              </w:rPr>
              <w:t>in gur</w:t>
            </w:r>
          </w:p>
        </w:tc>
        <w:tc>
          <w:tcPr>
            <w:tcW w:type="dxa" w:w="1728"/>
            <w:shd w:val="clear" w:color="auto" w:fill="EFE9DA"/>
          </w:tcPr>
          <w:p>
            <w:r>
              <w:rPr>
                <w:b/>
                <w:sz w:val="19"/>
              </w:rPr>
              <w:t>in sila₃</w:t>
            </w:r>
          </w:p>
        </w:tc>
        <w:tc>
          <w:tcPr>
            <w:tcW w:type="dxa" w:w="1728"/>
            <w:shd w:val="clear" w:color="auto" w:fill="EFE9DA"/>
          </w:tcPr>
          <w:p>
            <w:r>
              <w:rPr>
                <w:b/>
                <w:sz w:val="19"/>
              </w:rPr>
              <w:t>Role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sila3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sila₃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1/300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base (litre)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ban2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ban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1/30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sub-gur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barig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barig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1/5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60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sub-gur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asz / gur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gur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unit gur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u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u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3,000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×10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gesz2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geš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60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18,000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×60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gesz'u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gešu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600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180,000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×600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szar2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šar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3,600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1,080,000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×3,600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szar'u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šaru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36,000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10,800,000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×36,000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szargal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šargal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216,000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64,800,000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×216,000</w:t>
            </w:r>
          </w:p>
        </w:tc>
      </w:tr>
    </w:tbl>
    <w:p>
      <w:pPr>
        <w:spacing w:after="160"/>
      </w:pPr>
    </w:p>
    <w:p>
      <w:pPr>
        <w:spacing w:before="280" w:after="120"/>
        <w:pBdr>
          <w:bottom w:val="single" w:sz="6" w:space="1" w:color="B8860B"/>
        </w:pBdr>
      </w:pPr>
      <w:r>
        <w:rPr>
          <w:b/>
          <w:color w:val="5A3A12"/>
          <w:sz w:val="26"/>
        </w:rPr>
        <w:t>3. Extraction Pipeline</w:t>
      </w:r>
    </w:p>
    <w:p>
      <w:pPr>
        <w:spacing w:after="140"/>
        <w:jc w:val="both"/>
      </w:pPr>
      <w:r>
        <w:rPr>
          <w:sz w:val="22"/>
        </w:rPr>
        <w:t>The pipeline is implemented in pure Python with no machine-learning</w:t>
        <w:br/>
        <w:t>dependency; every decision is auditable and deterministic. Processing proceeds</w:t>
        <w:br/>
        <w:t>in five stages.</w:t>
      </w:r>
    </w:p>
    <w:p>
      <w:pPr>
        <w:spacing w:before="200" w:after="80"/>
      </w:pPr>
      <w:r>
        <w:rPr>
          <w:b/>
          <w:color w:val="7A3A1A"/>
          <w:sz w:val="23"/>
        </w:rPr>
        <w:t>3.1 Structural segmentation</w:t>
      </w:r>
    </w:p>
    <w:p>
      <w:pPr>
        <w:spacing w:after="140"/>
        <w:jc w:val="both"/>
      </w:pPr>
      <w:r>
        <w:rPr>
          <w:sz w:val="22"/>
        </w:rPr>
        <w:t>Each tablet is split into sections at structural keywords—</w:t>
      </w:r>
      <w:r>
        <w:rPr>
          <w:rFonts w:ascii="Courier New" w:hAnsi="Courier New"/>
          <w:sz w:val="19"/>
        </w:rPr>
        <w:t>šunigin</w:t>
      </w:r>
      <w:r>
        <w:rPr>
          <w:sz w:val="22"/>
        </w:rPr>
        <w:t>(subtotal),</w:t>
      </w:r>
      <w:r>
        <w:rPr>
          <w:rFonts w:ascii="Courier New" w:hAnsi="Courier New"/>
          <w:sz w:val="19"/>
        </w:rPr>
        <w:t>sza₃-bi-ta</w:t>
      </w:r>
      <w:r>
        <w:rPr>
          <w:sz w:val="22"/>
        </w:rPr>
        <w:t>("therefrom", opening an expenditure block),</w:t>
      </w:r>
      <w:r>
        <w:rPr>
          <w:rFonts w:ascii="Courier New" w:hAnsi="Courier New"/>
          <w:sz w:val="19"/>
        </w:rPr>
        <w:t>sag-nig₂-gur₁₁</w:t>
      </w:r>
      <w:r>
        <w:rPr>
          <w:sz w:val="22"/>
        </w:rPr>
        <w:t>("capital", opening an income block). Secondary surfaces (</w:t>
      </w:r>
      <w:r>
        <w:rPr>
          <w:rFonts w:ascii="Courier New" w:hAnsi="Courier New"/>
          <w:sz w:val="19"/>
        </w:rPr>
        <w:t>@seal</w:t>
      </w:r>
      <w:r>
        <w:rPr>
          <w:sz w:val="22"/>
        </w:rPr>
        <w:t>,</w:t>
      </w:r>
      <w:r>
        <w:rPr>
          <w:rFonts w:ascii="Courier New" w:hAnsi="Courier New"/>
          <w:sz w:val="19"/>
        </w:rPr>
        <w:t>@envelope</w:t>
      </w:r>
      <w:r>
        <w:rPr>
          <w:sz w:val="22"/>
        </w:rPr>
        <w:t>) are stripped, and non-administrative genres (lexical</w:t>
        <w:br/>
        <w:t>lists, royal inscriptions, literary and non-Sumerian texts) are rejected on</w:t>
        <w:br/>
        <w:t>header inspection.</w:t>
      </w:r>
    </w:p>
    <w:p>
      <w:pPr>
        <w:spacing w:before="200" w:after="80"/>
      </w:pPr>
      <w:r>
        <w:rPr>
          <w:b/>
          <w:color w:val="7A3A1A"/>
          <w:sz w:val="23"/>
        </w:rPr>
        <w:t>3.2 Quantity parsing</w:t>
      </w:r>
    </w:p>
    <w:p>
      <w:pPr>
        <w:spacing w:after="140"/>
        <w:jc w:val="both"/>
      </w:pPr>
      <w:r>
        <w:rPr>
          <w:sz w:val="22"/>
        </w:rPr>
        <w:t>Within a line, the numeral-classifier grammar</w:t>
      </w:r>
      <w:r>
        <w:rPr>
          <w:rFonts w:ascii="Courier New" w:hAnsi="Courier New"/>
          <w:sz w:val="19"/>
        </w:rPr>
        <w:t>N(unit)</w:t>
      </w:r>
      <w:r>
        <w:rPr>
          <w:sz w:val="22"/>
        </w:rPr>
        <w:t>is parsed</w:t>
        <w:br/>
        <w:t>and each token mapped through Table 1. Crucially, a line yields a grain quantity</w:t>
        <w:br/>
        <w:t>only if it passes the negative-classification filters of §6; otherwise it is</w:t>
        <w:br/>
        <w:t>routed to the appropriate non-grain channel (animals in</w:t>
      </w:r>
      <w:r>
        <w:rPr>
          <w:i/>
          <w:sz w:val="22"/>
        </w:rPr>
        <w:t>head</w:t>
      </w:r>
      <w:r>
        <w:rPr>
          <w:sz w:val="22"/>
        </w:rPr>
        <w:t>, silver</w:t>
        <w:br/>
        <w:t>in</w:t>
      </w:r>
      <w:r>
        <w:rPr>
          <w:i/>
          <w:sz w:val="22"/>
        </w:rPr>
        <w:t>gin₂</w:t>
      </w:r>
      <w:r>
        <w:rPr>
          <w:sz w:val="22"/>
        </w:rPr>
        <w:t>, labour in</w:t>
      </w:r>
      <w:r>
        <w:rPr>
          <w:i/>
          <w:sz w:val="22"/>
        </w:rPr>
        <w:t>worker-days</w:t>
      </w:r>
      <w:r>
        <w:rPr>
          <w:sz w:val="22"/>
        </w:rPr>
        <w:t>) or discarded.</w:t>
      </w:r>
    </w:p>
    <w:p>
      <w:pPr>
        <w:spacing w:before="200" w:after="80"/>
      </w:pPr>
      <w:r>
        <w:rPr>
          <w:b/>
          <w:color w:val="7A3A1A"/>
          <w:sz w:val="23"/>
        </w:rPr>
        <w:t>3.3 Attribution and dating</w:t>
      </w:r>
    </w:p>
    <w:p>
      <w:pPr>
        <w:spacing w:after="140"/>
        <w:jc w:val="both"/>
      </w:pPr>
      <w:r>
        <w:rPr>
          <w:sz w:val="22"/>
        </w:rPr>
        <w:t>Issuer, recipient, and intermediary (</w:t>
      </w:r>
      <w:r>
        <w:rPr>
          <w:i/>
          <w:sz w:val="22"/>
        </w:rPr>
        <w:t>giri₃</w:t>
      </w:r>
      <w:r>
        <w:rPr>
          <w:sz w:val="22"/>
        </w:rPr>
        <w:t>, "via") are resolved</w:t>
        <w:br/>
        <w:t>from prepositional frames (</w:t>
      </w:r>
      <w:r>
        <w:rPr>
          <w:rFonts w:ascii="Courier New" w:hAnsi="Courier New"/>
          <w:sz w:val="19"/>
        </w:rPr>
        <w:t>ki …-ta</w:t>
      </w:r>
      <w:r>
        <w:rPr>
          <w:sz w:val="22"/>
        </w:rPr>
        <w:t>"from",</w:t>
      </w:r>
      <w:r>
        <w:rPr>
          <w:rFonts w:ascii="Courier New" w:hAnsi="Courier New"/>
          <w:sz w:val="19"/>
        </w:rPr>
        <w:t>…</w:t>
        <w:br/>
        <w:t>šu ba-ti</w:t>
      </w:r>
      <w:r>
        <w:rPr>
          <w:sz w:val="22"/>
        </w:rPr>
        <w:t>"received"). Year-names are matched against a</w:t>
        <w:br/>
        <w:t>reign-by-reign almanac and reduced to (king, regnal year, month, day).</w:t>
      </w:r>
    </w:p>
    <w:p>
      <w:pPr>
        <w:spacing w:before="200" w:after="80"/>
      </w:pPr>
      <w:r>
        <w:rPr>
          <w:b/>
          <w:color w:val="7A3A1A"/>
          <w:sz w:val="23"/>
        </w:rPr>
        <w:t>3.4 Normalisation and prosopography</w:t>
      </w:r>
    </w:p>
    <w:p>
      <w:pPr>
        <w:spacing w:after="140"/>
        <w:jc w:val="both"/>
      </w:pPr>
      <w:r>
        <w:rPr>
          <w:sz w:val="22"/>
        </w:rPr>
        <w:t>Personal names are normalised by stripping grammatical case suffixes only</w:t>
        <w:br/>
        <w:t>when the bare form is independently attested, guarding against over-merging.</w:t>
        <w:br/>
        <w:t>A patronymic scanner (X dumu Y, "X son of Y") yields 11,850</w:t>
        <w:br/>
        <w:t>father–son pairs and flags 746 homonyms (identical names with distinct</w:t>
        <w:br/>
        <w:t>fathers).</w:t>
      </w:r>
      <w:r>
        <w:rPr>
          <w:rFonts w:ascii="Courier New" w:hAnsi="Courier New"/>
          <w:sz w:val="19"/>
        </w:rPr>
      </w:r>
      <w:r>
        <w:rPr>
          <w:sz w:val="22"/>
        </w:rPr>
      </w:r>
    </w:p>
    <w:p>
      <w:pPr>
        <w:spacing w:before="200" w:after="80"/>
      </w:pPr>
      <w:r>
        <w:rPr>
          <w:b/>
          <w:color w:val="7A3A1A"/>
          <w:sz w:val="23"/>
        </w:rPr>
        <w:t>3.5 Output</w:t>
      </w:r>
    </w:p>
    <w:p>
      <w:pPr>
        <w:spacing w:after="140"/>
        <w:jc w:val="both"/>
      </w:pPr>
      <w:r>
        <w:rPr>
          <w:sz w:val="22"/>
        </w:rPr>
        <w:t>The pipeline emits typed transaction tables, a three-level</w:t>
        <w:br/>
        <w:t>tablet→record→entry hierarchy, an entity index, and a barley-flow</w:t>
        <w:br/>
        <w:t>network in GEXF. Summary statistics appear in Table 2.</w:t>
      </w:r>
    </w:p>
    <w:p>
      <w:pPr>
        <w:spacing w:before="160" w:after="40"/>
      </w:pPr>
      <w:r>
        <w:rPr>
          <w:b/>
          <w:sz w:val="19"/>
        </w:rPr>
        <w:t>Table 2. Pipeline yield over the 135,199-tablet corpus.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FE9DA"/>
          </w:tcPr>
          <w:p>
            <w:r>
              <w:rPr>
                <w:b/>
                <w:sz w:val="19"/>
              </w:rPr>
              <w:t>Quantity</w:t>
            </w:r>
          </w:p>
        </w:tc>
        <w:tc>
          <w:tcPr>
            <w:tcW w:type="dxa" w:w="4320"/>
            <w:shd w:val="clear" w:color="auto" w:fill="EFE9DA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Tablets processed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135,199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Tablets yielding ≥1 transaction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50,599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Total transactions extracted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220,034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Tablets with structured records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78,408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Records / line-entries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72,119 / 242,381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Unique named entities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32,493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Entity appearances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336,453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Patronymic (kinship) pairs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11,850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Transactions with a reign date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88,064 (34.6%)</w:t>
            </w:r>
          </w:p>
        </w:tc>
      </w:tr>
    </w:tbl>
    <w:p>
      <w:pPr>
        <w:spacing w:after="160"/>
      </w:pPr>
    </w:p>
    <w:p>
      <w:pPr>
        <w:spacing w:before="280" w:after="120"/>
        <w:pBdr>
          <w:bottom w:val="single" w:sz="6" w:space="1" w:color="B8860B"/>
        </w:pBdr>
      </w:pPr>
      <w:r>
        <w:rPr>
          <w:b/>
          <w:color w:val="5A3A12"/>
          <w:sz w:val="26"/>
        </w:rPr>
        <w:t>4. Exploratory Data Analysis: Volume and Composition</w:t>
      </w:r>
    </w:p>
    <w:p>
      <w:pPr>
        <w:spacing w:after="140"/>
        <w:jc w:val="both"/>
      </w:pPr>
      <w:r>
        <w:rPr>
          <w:sz w:val="22"/>
        </w:rPr>
        <w:t>Aggregating all capacity-measured transactions and converting to a commongurbase yields the commodity profile of Table 3 and Fig. 1c. Cereal</w:t>
        <w:br/>
        <w:t>grains—barley, emmer, wheat, and the flour milled from them—dominate at</w:t>
        <w:br/>
        <w:t>2.275 milliongur, with barley alone supplying 86% of all capacity</w:t>
        <w:br/>
        <w:t>volume. The "untyped" residue (385,000gur) comprises capacity lines</w:t>
        <w:br/>
        <w:t>whose commodity word was lost to damage or stood in an elliptical subtotal; on</w:t>
        <w:br/>
        <w:t>internal evidence the overwhelming majority is also barley, so the cereal figure</w:t>
        <w:br/>
        <w:t>is a conservative lower bound.</w:t>
      </w:r>
      <w:r>
        <w:rPr>
          <w:i/>
          <w:sz w:val="22"/>
        </w:rPr>
      </w:r>
      <w:r>
        <w:rPr>
          <w:sz w:val="22"/>
        </w:rPr>
      </w:r>
      <w:r>
        <w:rPr>
          <w:i/>
          <w:sz w:val="22"/>
        </w:rPr>
      </w:r>
      <w:r>
        <w:rPr>
          <w:sz w:val="22"/>
        </w:rPr>
      </w:r>
      <w:r>
        <w:rPr>
          <w:i/>
          <w:sz w:val="22"/>
        </w:rPr>
      </w:r>
      <w:r>
        <w:rPr>
          <w:sz w:val="22"/>
        </w:rPr>
      </w:r>
    </w:p>
    <w:p>
      <w:pPr>
        <w:spacing w:before="160" w:after="40"/>
      </w:pPr>
      <w:r>
        <w:rPr>
          <w:b/>
          <w:sz w:val="19"/>
        </w:rPr>
        <w:t>Table 3. Capacity-measured volume by commodity (in gur).</w:t>
        <w:br/>
        <w:t>Cereal grains in bold.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FE9DA"/>
          </w:tcPr>
          <w:p>
            <w:r>
              <w:rPr>
                <w:b/>
                <w:sz w:val="19"/>
              </w:rPr>
              <w:t>Commodity</w:t>
            </w:r>
          </w:p>
        </w:tc>
        <w:tc>
          <w:tcPr>
            <w:tcW w:type="dxa" w:w="2160"/>
            <w:shd w:val="clear" w:color="auto" w:fill="EFE9DA"/>
          </w:tcPr>
          <w:p>
            <w:r>
              <w:rPr>
                <w:b/>
                <w:sz w:val="19"/>
              </w:rPr>
              <w:t>Volume (gur)</w:t>
            </w:r>
          </w:p>
        </w:tc>
        <w:tc>
          <w:tcPr>
            <w:tcW w:type="dxa" w:w="2160"/>
            <w:shd w:val="clear" w:color="auto" w:fill="EFE9DA"/>
          </w:tcPr>
          <w:p>
            <w:r>
              <w:rPr>
                <w:b/>
                <w:sz w:val="19"/>
              </w:rPr>
              <w:t>Share</w:t>
            </w:r>
          </w:p>
        </w:tc>
        <w:tc>
          <w:tcPr>
            <w:tcW w:type="dxa" w:w="2160"/>
            <w:shd w:val="clear" w:color="auto" w:fill="EFE9DA"/>
          </w:tcPr>
          <w:p>
            <w:r>
              <w:rPr>
                <w:b/>
                <w:sz w:val="19"/>
              </w:rPr>
              <w:t>Unit basis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Barley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2,006,590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72.5%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capacity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(untyped capacity)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384,589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13.9%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capacity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Flour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159,493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5.8%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capacity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Emmer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76,527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2.8%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capacity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Bread (ninda)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38,989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1.4%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capacity-equiv.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Dates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27,240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capacity-equiv.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Beer (kaš)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26,810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capacity-equiv.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Wheat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23,717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0.9%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capacity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Oil (i₃)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23,439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0.8%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capacity-equiv.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Total capacity: 2,767,393 gur;</w:t>
              <w:br/>
              <w:t>cereal grains: 2,266,327 gur. Non-capacity channels:</w:t>
              <w:br/>
              <w:t>weighed metals &amp; commodities 166,128 gin₂; livestock 120,289</w:t>
              <w:br/>
              <w:t>head; labour 238,942 worker-days.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spacing w:after="160"/>
      </w:pP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029200" cy="30948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ommod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4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color w:val="5A5443"/>
          <w:sz w:val="19"/>
        </w:rPr>
        <w:t>Figure 1c. Capacity-measured commodity volume on a</w:t>
        <w:br/>
        <w:t xml:space="preserve">  logarithmic axis. Cereal grains (gold) eclipse all other capacity commodities</w:t>
        <w:br/>
        <w:t xml:space="preserve">  by more than an order of magnitude, consistent with barley's role as the unit</w:t>
        <w:br/>
        <w:t xml:space="preserve">  of account and principal ration medium of the Ur III economy.</w:t>
      </w:r>
    </w:p>
    <w:p>
      <w:pPr>
        <w:spacing w:before="280" w:after="120"/>
        <w:pBdr>
          <w:bottom w:val="single" w:sz="6" w:space="1" w:color="B8860B"/>
        </w:pBdr>
      </w:pPr>
      <w:r>
        <w:rPr>
          <w:b/>
          <w:color w:val="5A3A12"/>
          <w:sz w:val="26"/>
        </w:rPr>
        <w:t>5. Exploratory Data Analysis: Distribution and Structure</w:t>
      </w:r>
    </w:p>
    <w:p>
      <w:pPr>
        <w:spacing w:before="200" w:after="80"/>
      </w:pPr>
      <w:r>
        <w:rPr>
          <w:b/>
          <w:color w:val="7A3A1A"/>
          <w:sz w:val="23"/>
        </w:rPr>
        <w:t>5.1 Transaction sizes are log-normal with a heavy tail</w:t>
      </w:r>
    </w:p>
    <w:p>
      <w:pPr>
        <w:spacing w:after="140"/>
        <w:jc w:val="both"/>
      </w:pPr>
      <w:r>
        <w:rPr>
          <w:sz w:val="22"/>
        </w:rPr>
        <w:t>The size distribution of the 44,599 barley capacity-transactions spans eight</w:t>
        <w:br/>
        <w:t>orders of magnitude, from fractional-sila₃ messenger rations to a single</w:t>
        <w:br/>
        <w:t>134,007-gurthreshing-floor receipt. On a logarithmic axis (Fig. 1a)</w:t>
        <w:br/>
        <w:t>the body of the distribution is strikingly bell-shaped: a log-normal fit gives</w:t>
        <w:br/>
        <w:t>μ = 5.78, σ = 2.77 (natural log of sila₃), and the modal class</w:t>
        <w:br/>
        <w:t>sits exactly at the institutional default of onegur(300 sila₃),</w:t>
        <w:br/>
        <w:t>which is also the median. The geometric mean, 318 sila₃, is nearly two</w:t>
        <w:br/>
        <w:t>orders of magnitude below the arithmetic mean (11,763 sila₃)—the signature</w:t>
        <w:br/>
        <w:t>of strong right-skew driven by a small number of granary-scale entries.</w:t>
      </w:r>
      <w:r>
        <w:rPr>
          <w:i/>
          <w:sz w:val="22"/>
        </w:rPr>
      </w:r>
      <w:r>
        <w:rPr>
          <w:sz w:val="22"/>
        </w:rPr>
      </w:r>
      <w:r>
        <w:rPr>
          <w:i/>
          <w:sz w:val="22"/>
        </w:rPr>
      </w:r>
      <w:r>
        <w:rPr>
          <w:sz w:val="22"/>
        </w:rPr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029200" cy="30948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txsiz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4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color w:val="5A5443"/>
          <w:sz w:val="19"/>
        </w:rPr>
        <w:t>Figure 1a. Distribution of barley transaction</w:t>
        <w:br/>
        <w:t xml:space="preserve">  sizes (log₁₀ sila₃). The body is approximately log-normal; the</w:t>
        <w:br/>
        <w:t xml:space="preserve">  median coincides with the one-gur ration unit. The long right shoulder</w:t>
        <w:br/>
        <w:t xml:space="preserve">  reflects institutional granary and harvest receipts.</w:t>
      </w:r>
    </w:p>
    <w:p>
      <w:pPr>
        <w:spacing w:before="200" w:after="80"/>
      </w:pPr>
      <w:r>
        <w:rPr>
          <w:b/>
          <w:color w:val="7A3A1A"/>
          <w:sz w:val="23"/>
        </w:rPr>
        <w:t>5.2 Extreme concentration of grain</w:t>
      </w:r>
    </w:p>
    <w:p>
      <w:pPr>
        <w:spacing w:after="140"/>
        <w:jc w:val="both"/>
      </w:pPr>
      <w:r>
        <w:rPr>
          <w:sz w:val="22"/>
        </w:rPr>
        <w:t>Grain volume is concentrated to a degree that would be remarkable in any</w:t>
        <w:br/>
        <w:t>economy. The top 1% of capacity transactions carry 53.4% of all barley by</w:t>
        <w:br/>
        <w:t>volume, and the top 10% carry 91.2%. This is not an artefact of small-record</w:t>
        <w:br/>
        <w:t>noise: 60% of grain-bearing tablets record 10</w:t>
      </w:r>
      <w:r>
        <w:rPr>
          <w:b/>
          <w:sz w:val="22"/>
        </w:rPr>
      </w:r>
      <w:r>
        <w:rPr>
          <w:sz w:val="22"/>
        </w:rPr>
      </w:r>
      <w:r>
        <w:rPr>
          <w:b/>
          <w:sz w:val="22"/>
        </w:rPr>
      </w:r>
      <w:r>
        <w:rPr>
          <w:sz w:val="22"/>
        </w:rPr>
      </w:r>
      <w:r>
        <w:rPr>
          <w:i/>
          <w:sz w:val="22"/>
        </w:rPr>
        <w:t>gur</w:t>
      </w:r>
      <w:r>
        <w:rPr>
          <w:sz w:val="22"/>
        </w:rPr>
        <w:t>or less (everyday</w:t>
        <w:br/>
        <w:t>disbursements; the per-tablet median is just 8</w:t>
      </w:r>
      <w:r>
        <w:rPr>
          <w:i/>
          <w:sz w:val="22"/>
        </w:rPr>
        <w:t>gur</w:t>
      </w:r>
      <w:r>
        <w:rPr>
          <w:sz w:val="22"/>
        </w:rPr>
        <w:t>), while only 20</w:t>
        <w:br/>
        <w:t>tablets exceed 10,000</w:t>
      </w:r>
      <w:r>
        <w:rPr>
          <w:i/>
          <w:sz w:val="22"/>
        </w:rPr>
        <w:t>gur</w:t>
      </w:r>
      <w:r>
        <w:rPr>
          <w:sz w:val="22"/>
        </w:rPr>
        <w:t>each—the institutional granary and harvest</w:t>
        <w:br/>
        <w:t>accounts that dominate the aggregate. The Ur III grain economy was,</w:t>
        <w:br/>
        <w:t>statistically, a two-regime system: a vast substrate of small rationing</w:t>
        <w:br/>
        <w:t>transactions overlaid by a thin stratum of enormous institutional flows. Formal inequality measurement is deferred pending resolution of name</w:t>
        <w:br/>
        <w:t>conflation: common names aggregate multiple individuals into single nodes, which inflates apparent entity-level concentration.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029200" cy="48357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loren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35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color w:val="5A5443"/>
          <w:sz w:val="19"/>
        </w:rPr>
        <w:t>Figure 1b. Lorenz curves for barley volume across</w:t>
        <w:br/>
        <w:t xml:space="preserve">  transactions (steel) and tablets (red). Both lie far below the equality</w:t>
        <w:br/>
        <w:t xml:space="preserve">  diagonal. Over half of all recorded barley moves through 1%</w:t>
        <w:br/>
        <w:t xml:space="preserve">  of transactions.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029200" cy="30948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ertabl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4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color w:val="5A5443"/>
          <w:sz w:val="19"/>
        </w:rPr>
        <w:t>Figure 1e. Per-tablet barley totals</w:t>
        <w:br/>
        <w:t xml:space="preserve">  (log₁₀ gur). The bulk of tablets sit near the one-gur</w:t>
        <w:br/>
        <w:t xml:space="preserve">  ration scale; a separate cluster beyond 10,000 gur (gold line) marks the</w:t>
        <w:br/>
        <w:t xml:space="preserve">  provincial granary inventories and threshing-floor harvest receipts.</w:t>
      </w:r>
    </w:p>
    <w:p>
      <w:pPr>
        <w:spacing w:before="200" w:after="80"/>
      </w:pPr>
      <w:r>
        <w:rPr>
          <w:b/>
          <w:color w:val="7A3A1A"/>
          <w:sz w:val="23"/>
        </w:rPr>
        <w:t>5.3 Temporal structure follows the surviving archives</w:t>
      </w:r>
    </w:p>
    <w:p>
      <w:pPr>
        <w:spacing w:after="140"/>
        <w:jc w:val="both"/>
      </w:pPr>
      <w:r>
        <w:rPr>
          <w:sz w:val="22"/>
        </w:rPr>
        <w:t>One third of transactions carry a recoverable reign date, overwhelmingly from</w:t>
        <w:br/>
        <w:t>the reign of Šulgi (67,107 transactions), reflecting the great Drehem,</w:t>
        <w:br/>
        <w:t>Umma, and Girsu archives. Within Šulgi's reign the dated barley record</w:t>
        <w:br/>
        <w:t>peaks sharply in years 45–48 (Fig. 1d), the period of the bala</w:t>
        <w:br/>
        <w:t>redistributive system's fullest documentation. The temporal signal therefore</w:t>
        <w:br/>
        <w:t>indexesarchival survival and bureaucratic intensityrather than any</w:t>
        <w:br/>
        <w:t>simple economic cycle—an important caveat for any longitudinal reading of the</w:t>
        <w:br/>
        <w:t>series.</w:t>
      </w:r>
      <w:r>
        <w:rPr>
          <w:i/>
          <w:sz w:val="22"/>
        </w:rPr>
      </w:r>
      <w:r>
        <w:rPr>
          <w:sz w:val="22"/>
        </w:rPr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854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tempor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85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color w:val="5A5443"/>
          <w:sz w:val="19"/>
        </w:rPr>
        <w:t>Figure 1d. Dated barley transactions across</w:t>
        <w:br/>
        <w:t xml:space="preserve">  Šulgi's regnal years. The years 45–48 (shaded) supply the densest</w:t>
        <w:br/>
        <w:t xml:space="preserve">  documentation, coinciding with the maturity of the provincial bala accounting</w:t>
        <w:br/>
        <w:t xml:space="preserve">  apparatus.</w:t>
      </w:r>
    </w:p>
    <w:p>
      <w:pPr>
        <w:spacing w:before="200" w:after="80"/>
      </w:pPr>
      <w:r>
        <w:rPr>
          <w:b/>
          <w:color w:val="7A3A1A"/>
          <w:sz w:val="23"/>
        </w:rPr>
        <w:t>5.4 The exchange network and its brokers</w:t>
      </w:r>
    </w:p>
    <w:p>
      <w:pPr>
        <w:spacing w:after="140"/>
        <w:jc w:val="both"/>
      </w:pPr>
      <w:r>
        <w:rPr>
          <w:sz w:val="22"/>
        </w:rPr>
        <w:t>Restricting to barley transactions with both a resolved issuer and recipient</w:t>
        <w:br/>
        <w:t>(3,090 edges) yields a directed network of 1,894 agents. The graph is sparse</w:t>
        <w:br/>
        <w:t>(density 0.00086) but cohesive: a single giant weakly-connected component spans</w:t>
        <w:br/>
        <w:t>1,628 of the 1,894 nodes (83%), the remaining mass fragmenting into 146 small</w:t>
        <w:br/>
        <w:t>components. Betweenness centrality (Fig. 1f) identifies the structural brokers,</w:t>
        <w:br/>
        <w:t>and they are precisely the figures Assyriology would predict: provincial</w:t>
        <w:br/>
        <w:t>household managers (šabra) and high stewards such asUr-BabaandUr-Nanše, who relay grain between</w:t>
        <w:br/>
        <w:t>cultivators and the central administration. The single largestsinkby</w:t>
        <w:br/>
        <w:t>in-degree—and the top node by PageRank—is the royal granary (in-degree 82), the</w:t>
        <w:br/>
        <w:t>institutional terminus toward which provincial surpluses flow. The network thus</w:t>
        <w:br/>
        <w:t>recovers, from raw transliteration alone, the textbook redistributive</w:t>
        <w:br/>
        <w:t>architecture of the Ur III state: a hub-and-spoke system mediated by named</w:t>
        <w:br/>
        <w:t>household officers.</w:t>
      </w:r>
      <w:r>
        <w:rPr>
          <w:i/>
          <w:sz w:val="22"/>
        </w:rPr>
      </w:r>
      <w:r>
        <w:rPr>
          <w:sz w:val="22"/>
        </w:rPr>
      </w:r>
      <w:r>
        <w:rPr>
          <w:i/>
          <w:sz w:val="22"/>
        </w:rPr>
      </w:r>
      <w:r>
        <w:rPr>
          <w:sz w:val="22"/>
        </w:rPr>
      </w:r>
      <w:r>
        <w:rPr>
          <w:i/>
          <w:sz w:val="22"/>
        </w:rPr>
      </w:r>
      <w:r>
        <w:rPr>
          <w:sz w:val="22"/>
        </w:rPr>
      </w:r>
      <w:r>
        <w:rPr>
          <w:i/>
          <w:sz w:val="22"/>
        </w:rPr>
      </w:r>
      <w:r>
        <w:rPr>
          <w:sz w:val="22"/>
        </w:rPr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networ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color w:val="5A5443"/>
          <w:sz w:val="19"/>
        </w:rPr>
        <w:t>Figure 1f. Giant component of the barley-exchange</w:t>
        <w:br/>
        <w:t xml:space="preserve">  network (top-120 agents by weighted degree shown). Node size and colour encode</w:t>
        <w:br/>
        <w:t xml:space="preserve">  betweenness centrality. High-brokerage nodes correspond to provincial stewards</w:t>
        <w:br/>
        <w:t xml:space="preserve">  mediating between producers and the royal granary.</w:t>
      </w:r>
    </w:p>
    <w:p>
      <w:pPr>
        <w:spacing w:before="160" w:after="40"/>
      </w:pPr>
      <w:r>
        <w:rPr>
          <w:b/>
          <w:sz w:val="19"/>
        </w:rPr>
        <w:t>Table 4. Leading brokers (betweenness) and recipients</w:t>
        <w:br/>
        <w:t>(in-degree) in the barley network.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FE9DA"/>
          </w:tcPr>
          <w:p>
            <w:r>
              <w:rPr>
                <w:b/>
                <w:sz w:val="19"/>
              </w:rPr>
              <w:t>Rank</w:t>
            </w:r>
          </w:p>
        </w:tc>
        <w:tc>
          <w:tcPr>
            <w:tcW w:type="dxa" w:w="1728"/>
            <w:shd w:val="clear" w:color="auto" w:fill="EFE9DA"/>
          </w:tcPr>
          <w:p>
            <w:r>
              <w:rPr>
                <w:b/>
                <w:sz w:val="19"/>
              </w:rPr>
              <w:t>Broker (betweenness)</w:t>
            </w:r>
          </w:p>
        </w:tc>
        <w:tc>
          <w:tcPr>
            <w:tcW w:type="dxa" w:w="1728"/>
            <w:shd w:val="clear" w:color="auto" w:fill="EFE9DA"/>
          </w:tcPr>
          <w:p>
            <w:r>
              <w:rPr>
                <w:b/>
                <w:sz w:val="19"/>
              </w:rPr>
              <w:t>BC</w:t>
            </w:r>
          </w:p>
        </w:tc>
        <w:tc>
          <w:tcPr>
            <w:tcW w:type="dxa" w:w="1728"/>
            <w:shd w:val="clear" w:color="auto" w:fill="EFE9DA"/>
          </w:tcPr>
          <w:p>
            <w:r>
              <w:rPr>
                <w:b/>
                <w:sz w:val="19"/>
              </w:rPr>
              <w:t>Recipient (in-degree)</w:t>
            </w:r>
          </w:p>
        </w:tc>
        <w:tc>
          <w:tcPr>
            <w:tcW w:type="dxa" w:w="1728"/>
            <w:shd w:val="clear" w:color="auto" w:fill="EFE9DA"/>
          </w:tcPr>
          <w:p>
            <w:r>
              <w:rPr>
                <w:b/>
                <w:sz w:val="19"/>
              </w:rPr>
              <w:t>deg⁻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Ur-Baba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0.039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royal granary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82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Ur-Nanše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0.035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Ur-Baba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44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overseer (ugula)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0.029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Lu-Ninšubur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41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Ba-zi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0.024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Ur-Nanše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35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Ur-Šulpae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0.023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overseer (ugula)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34</w:t>
            </w:r>
          </w:p>
        </w:tc>
      </w:tr>
    </w:tbl>
    <w:p>
      <w:pPr>
        <w:spacing w:after="160"/>
      </w:pPr>
    </w:p>
    <w:p>
      <w:pPr>
        <w:spacing w:before="280" w:after="120"/>
        <w:pBdr>
          <w:bottom w:val="single" w:sz="6" w:space="1" w:color="B8860B"/>
        </w:pBdr>
      </w:pPr>
      <w:r>
        <w:rPr>
          <w:b/>
          <w:color w:val="5A3A12"/>
          <w:sz w:val="26"/>
        </w:rPr>
        <w:t>6. Methodology: Controlling False Positives CORE</w:t>
      </w:r>
    </w:p>
    <w:p>
      <w:pPr>
        <w:spacing w:after="140"/>
        <w:jc w:val="both"/>
      </w:pPr>
      <w:r>
        <w:rPr>
          <w:sz w:val="22"/>
        </w:rPr>
        <w:t>We now turn to the paper's principal methodological contribution. In a corpus</w:t>
        <w:br/>
        <w:t>where grain, garlic, reeds, cattle, silver, and accounting balances all share a</w:t>
        <w:br/>
        <w:t>numeral-classifier grammar, the dominant source of error is not the failure to</w:t>
        <w:br/>
        <w:t>parse grain (false negatives) but the eager parsing of non-grain (false</w:t>
        <w:br/>
        <w:t>positives). Because a single large-denomination misread can inject up to</w:t>
        <w:br/>
        <w:t>64.8 million sila₃ (Table 1),</w:t>
      </w:r>
      <w:r>
        <w:rPr>
          <w:i/>
          <w:sz w:val="22"/>
        </w:rPr>
        <w:t>precision on the tail dominates the</w:t>
        <w:br/>
        <w:t>aggregate</w:t>
      </w:r>
      <w:r>
        <w:rPr>
          <w:sz w:val="22"/>
        </w:rPr>
        <w:t>. Our strategy is a layered body of negative-classification rules,</w:t>
        <w:br/>
        <w:t>each motivated by a specific scribal idiom and each pinned by a regression test.</w:t>
      </w:r>
    </w:p>
    <w:p>
      <w:pPr>
        <w:spacing w:before="200" w:after="80"/>
      </w:pPr>
      <w:r>
        <w:rPr>
          <w:b/>
          <w:color w:val="7A3A1A"/>
          <w:sz w:val="23"/>
        </w:rPr>
        <w:t>6.1 Taxonomy of false positives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FE9DA"/>
          </w:tcPr>
          <w:p>
            <w:r>
              <w:rPr>
                <w:b/>
                <w:sz w:val="19"/>
              </w:rPr>
              <w:t>Class</w:t>
            </w:r>
          </w:p>
        </w:tc>
        <w:tc>
          <w:tcPr>
            <w:tcW w:type="dxa" w:w="2880"/>
            <w:shd w:val="clear" w:color="auto" w:fill="EFE9DA"/>
          </w:tcPr>
          <w:p>
            <w:r>
              <w:rPr>
                <w:b/>
                <w:sz w:val="19"/>
              </w:rPr>
              <w:t>Example line</w:t>
            </w:r>
          </w:p>
        </w:tc>
        <w:tc>
          <w:tcPr>
            <w:tcW w:type="dxa" w:w="2880"/>
            <w:shd w:val="clear" w:color="auto" w:fill="EFE9DA"/>
          </w:tcPr>
          <w:p>
            <w:r>
              <w:rPr>
                <w:b/>
                <w:sz w:val="19"/>
              </w:rPr>
              <w:t>Why it is not grain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Place / personal names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sza₃ e2-duru5 1(szargal){gal}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 village name ("Šargal hamlet"), not 216,000 gur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Counted commodities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N(szar2) sa za-ha-din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bundles of shallots, not gur of grain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Fodder / reed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N(gesz2) in-bul5 / in-nu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thatch &amp; straw measured by bulk, non-cereal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Livestock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N(asz) gu₄ / udu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head of cattle/sheep → routed to head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Weight / silver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N(disz) gin₂ ku₃-babbar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shekels of silver → routed to gin₂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Artisan item-counts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N(gesz2) nig₂ PERSON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manufactured-object tallies, not capacity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Balance carry-forward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 gur su-su / la₂-ia₃ / diri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repayment/deficit/surplus lines double-count the principal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Grand-total restatement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šunigin2 … sag-nig₂-gur₁₁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re-states entries already counted within the section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Ration mis-scaling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3(gesz'u) 4(gesz2) 2(u) 3(disz) PERSON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sila₃-scale worker ration, not gur-scale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Archaic curviform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szar2@c, gesz'u@c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pre-Sargonic sign forms 100–10,000× too large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b/>
          <w:color w:val="7A3A1A"/>
          <w:sz w:val="23"/>
        </w:rPr>
        <w:t>6.2 The large-denomination ration trap</w:t>
      </w:r>
    </w:p>
    <w:p>
      <w:pPr>
        <w:spacing w:after="140"/>
        <w:jc w:val="both"/>
      </w:pPr>
      <w:r>
        <w:rPr>
          <w:sz w:val="22"/>
        </w:rPr>
        <w:t>The most instructive false positive is the worker-ration list. On</w:t>
        <w:br/>
        <w:t>brewer- and weaver-ration tablets, an individual entry such as</w:t>
      </w:r>
      <w:r>
        <w:rPr>
          <w:rFonts w:ascii="Courier New" w:hAnsi="Courier New"/>
          <w:sz w:val="19"/>
        </w:rPr>
        <w:t>3(gesz'u) 4(gesz2) 2(u) 3(disz) ARAD₂</w:t>
      </w:r>
      <w:r>
        <w:rPr>
          <w:sz w:val="22"/>
        </w:rPr>
        <w:t>uses the large</w:t>
        <w:br/>
        <w:t>sexagesimal tokens to count</w:t>
      </w:r>
      <w:r>
        <w:rPr>
          <w:i/>
          <w:sz w:val="22"/>
        </w:rPr>
        <w:t>sila₃</w:t>
      </w:r>
      <w:r>
        <w:rPr>
          <w:sz w:val="22"/>
        </w:rPr>
        <w:t>, not</w:t>
      </w:r>
      <w:r>
        <w:rPr>
          <w:i/>
          <w:sz w:val="22"/>
        </w:rPr>
        <w:t>gur</w:t>
      </w:r>
      <w:r>
        <w:rPr>
          <w:sz w:val="22"/>
        </w:rPr>
        <w:t>: the entry is</w:t>
        <w:br/>
        <w:t>≈7</w:t>
      </w:r>
      <w:r>
        <w:rPr>
          <w:i/>
          <w:sz w:val="22"/>
        </w:rPr>
        <w:t>gur</w:t>
      </w:r>
      <w:r>
        <w:rPr>
          <w:sz w:val="22"/>
        </w:rPr>
        <w:t>, and the section's closing</w:t>
      </w:r>
      <w:r>
        <w:rPr>
          <w:i/>
          <w:sz w:val="22"/>
        </w:rPr>
        <w:t>šunigin</w:t>
      </w:r>
      <w:r>
        <w:rPr>
          <w:sz w:val="22"/>
        </w:rPr>
        <w:t>performs</w:t>
        <w:br/>
        <w:t>the gur conversion. A parser that applies the gur factor to the</w:t>
      </w:r>
      <w:r>
        <w:rPr>
          <w:rFonts w:ascii="Courier New" w:hAnsi="Courier New"/>
          <w:sz w:val="19"/>
        </w:rPr>
        <w:t>gesz'u</w:t>
      </w:r>
      <w:r>
        <w:rPr>
          <w:sz w:val="22"/>
        </w:rPr>
        <w:t>/</w:t>
      </w:r>
      <w:r>
        <w:rPr>
          <w:rFonts w:ascii="Courier New" w:hAnsi="Courier New"/>
          <w:sz w:val="19"/>
        </w:rPr>
        <w:t>gesz2</w:t>
      </w:r>
      <w:r>
        <w:rPr>
          <w:sz w:val="22"/>
        </w:rPr>
        <w:t>tokens inflates the line by ×300,</w:t>
        <w:br/>
        <w:t>turning 7</w:t>
      </w:r>
      <w:r>
        <w:rPr>
          <w:i/>
          <w:sz w:val="22"/>
        </w:rPr>
        <w:t>gur</w:t>
      </w:r>
      <w:r>
        <w:rPr>
          <w:sz w:val="22"/>
        </w:rPr>
        <w:t>into 2,063. Our guard encodes the diagnostic linguistic</w:t>
        <w:br/>
        <w:t>fact precisely: a line carrying a large-denomination token but</w:t>
      </w:r>
      <w:r>
        <w:rPr>
          <w:i/>
          <w:sz w:val="22"/>
        </w:rPr>
        <w:t>no sub-gur</w:t>
        <w:br/>
        <w:t>anchor</w:t>
      </w:r>
      <w:r>
        <w:rPr>
          <w:sz w:val="22"/>
        </w:rPr>
        <w:t>(</w:t>
      </w:r>
      <w:r>
        <w:rPr>
          <w:rFonts w:ascii="Courier New" w:hAnsi="Courier New"/>
          <w:sz w:val="19"/>
        </w:rPr>
        <w:t>asz</w:t>
      </w:r>
      <w:r>
        <w:rPr>
          <w:sz w:val="22"/>
        </w:rPr>
        <w:t>,</w:t>
      </w:r>
      <w:r>
        <w:rPr>
          <w:rFonts w:ascii="Courier New" w:hAnsi="Courier New"/>
          <w:sz w:val="19"/>
        </w:rPr>
        <w:t>barig</w:t>
      </w:r>
      <w:r>
        <w:rPr>
          <w:sz w:val="22"/>
        </w:rPr>
        <w:t>, or</w:t>
      </w:r>
      <w:r>
        <w:rPr>
          <w:rFonts w:ascii="Courier New" w:hAnsi="Courier New"/>
          <w:sz w:val="19"/>
        </w:rPr>
        <w:t>ban2</w:t>
      </w:r>
      <w:r>
        <w:rPr>
          <w:sz w:val="22"/>
        </w:rPr>
        <w:t>) is in</w:t>
        <w:br/>
        <w:t>sila₃ scale and must not be promoted to gur scale. Because the sub-gur</w:t>
        <w:br/>
        <w:t>anchors are themselves grain indicators, their presence is detected earlier in</w:t>
        <w:br/>
        <w:t>the pipeline; their</w:t>
      </w:r>
      <w:r>
        <w:rPr>
          <w:i/>
          <w:sz w:val="22"/>
        </w:rPr>
        <w:t>absence</w:t>
      </w:r>
      <w:r>
        <w:rPr>
          <w:sz w:val="22"/>
        </w:rPr>
        <w:t>beside a</w:t>
      </w:r>
      <w:r>
        <w:rPr>
          <w:rFonts w:ascii="Courier New" w:hAnsi="Courier New"/>
          <w:sz w:val="19"/>
        </w:rPr>
        <w:t>gesz2+</w:t>
      </w:r>
      <w:r>
        <w:rPr>
          <w:sz w:val="22"/>
        </w:rPr>
        <w:t>token is the</w:t>
        <w:br/>
        <w:t>signature of a mis-scaled ration. This single rule removed ≈0.80 million</w:t>
        <w:br/>
        <w:t>phantom</w:t>
      </w:r>
      <w:r>
        <w:rPr>
          <w:i/>
          <w:sz w:val="22"/>
        </w:rPr>
        <w:t>gur</w:t>
      </w:r>
      <w:r>
        <w:rPr>
          <w:sz w:val="22"/>
        </w:rPr>
        <w:t>.</w:t>
      </w:r>
    </w:p>
    <w:p>
      <w:pPr>
        <w:spacing w:before="200" w:after="80"/>
      </w:pPr>
      <w:r>
        <w:rPr>
          <w:b/>
          <w:color w:val="7A3A1A"/>
          <w:sz w:val="23"/>
        </w:rPr>
        <w:t>6.3 Context-sensitive recovery (false-negative control)</w:t>
      </w:r>
    </w:p>
    <w:p>
      <w:pPr>
        <w:spacing w:after="140"/>
        <w:jc w:val="both"/>
      </w:pPr>
      <w:r>
        <w:rPr>
          <w:sz w:val="22"/>
        </w:rPr>
        <w:t>Negative filtering, pursued alone, would discard legitimate elliptical grain</w:t>
        <w:br/>
        <w:t>lines (e.g.</w:t>
      </w:r>
      <w:r>
        <w:rPr>
          <w:rFonts w:ascii="Courier New" w:hAnsi="Courier New"/>
          <w:sz w:val="19"/>
        </w:rPr>
        <w:t>4(u) 5(disz) PERSON</w:t>
      </w:r>
      <w:r>
        <w:rPr>
          <w:sz w:val="22"/>
        </w:rPr>
        <w:t>within a proven grain section,</w:t>
        <w:br/>
        <w:t>where the unit word is elided). We therefore pair the filters with a</w:t>
      </w:r>
      <w:r>
        <w:rPr>
          <w:i/>
          <w:sz w:val="22"/>
        </w:rPr>
        <w:t>context</w:t>
      </w:r>
      <w:r>
        <w:rPr>
          <w:sz w:val="22"/>
        </w:rPr>
        <w:t>mechanism: a section that contains at least one explicit grain</w:t>
        <w:br/>
        <w:t>line activates a guarded retry that recovers unit-elided lines, but only when</w:t>
        <w:br/>
        <w:t>none of the §6.1 disqualifiers is present. The two mechanisms are adversarial by</w:t>
        <w:br/>
        <w:t>design—every loosening of recovery is checked against the full false-positive</w:t>
        <w:br/>
        <w:t>test suite, and vice versa.</w:t>
      </w:r>
    </w:p>
    <w:p>
      <w:pPr>
        <w:spacing w:before="200" w:after="80"/>
      </w:pPr>
      <w:r>
        <w:rPr>
          <w:b/>
          <w:color w:val="7A3A1A"/>
          <w:sz w:val="23"/>
        </w:rPr>
        <w:t>6.4 Validation and net effect</w:t>
      </w:r>
    </w:p>
    <w:p>
      <w:pPr>
        <w:spacing w:after="140"/>
        <w:jc w:val="both"/>
      </w:pPr>
      <w:r>
        <w:rPr>
          <w:sz w:val="22"/>
        </w:rPr>
        <w:t>The rule body comprises 120 distinct pattern terms, exercised by 144</w:t>
        <w:br/>
        <w:t>regression tests (all passing) that encode both the lines thatmustparse and the lines thatmust not. Developed test-first across more than</w:t>
        <w:br/>
        <w:t>eighty revisions, the filters reduced spurious grain volume from a permissive</w:t>
        <w:br/>
        <w:t>baseline of roughly 3.73 milliongurto the present 2.275 million—a</w:t>
        <w:br/>
        <w:t>reduction of about0.96 million gur (26%)—while the</w:t>
        <w:br/>
        <w:t>regression suite guarantees that no documented legitimate line was lost in the</w:t>
        <w:br/>
        <w:t>process. We regard the test corpus itself, rather than any single rule, as the</w:t>
        <w:br/>
        <w:t>durable artefact: it freezes hundreds of adjudicated scribal idioms into</w:t>
        <w:br/>
        <w:t>executable specifications.</w:t>
      </w:r>
      <w:r>
        <w:rPr>
          <w:i/>
          <w:sz w:val="22"/>
        </w:rPr>
      </w:r>
      <w:r>
        <w:rPr>
          <w:sz w:val="22"/>
        </w:rPr>
      </w:r>
      <w:r>
        <w:rPr>
          <w:i/>
          <w:sz w:val="22"/>
        </w:rPr>
      </w:r>
      <w:r>
        <w:rPr>
          <w:sz w:val="22"/>
        </w:rPr>
      </w:r>
      <w:r>
        <w:rPr>
          <w:i/>
          <w:sz w:val="22"/>
        </w:rPr>
      </w:r>
      <w:r>
        <w:rPr>
          <w:sz w:val="22"/>
        </w:rPr>
      </w:r>
      <w:r>
        <w:rPr>
          <w:b/>
          <w:sz w:val="22"/>
        </w:rPr>
      </w:r>
      <w:r>
        <w:rPr>
          <w:sz w:val="22"/>
        </w:rPr>
      </w:r>
    </w:p>
    <w:p>
      <w:pPr>
        <w:spacing w:before="280" w:after="120"/>
        <w:pBdr>
          <w:bottom w:val="single" w:sz="6" w:space="1" w:color="B8860B"/>
        </w:pBdr>
      </w:pPr>
      <w:r>
        <w:rPr>
          <w:b/>
          <w:color w:val="5A3A12"/>
          <w:sz w:val="26"/>
        </w:rPr>
        <w:t>7. Limitations</w:t>
      </w:r>
    </w:p>
    <w:p>
      <w:pPr>
        <w:spacing w:after="140"/>
        <w:jc w:val="both"/>
      </w:pPr>
      <w:r>
        <w:rPr>
          <w:sz w:val="22"/>
        </w:rPr>
        <w:t>Several caveats bound the analysis. (i)</w:t>
      </w:r>
      <w:r>
        <w:rPr>
          <w:i/>
          <w:sz w:val="22"/>
        </w:rPr>
        <w:t>Damage.</w:t>
      </w:r>
      <w:r>
        <w:rPr>
          <w:sz w:val="22"/>
        </w:rPr>
        <w:t>Bracketed lacunae</w:t>
        <w:br/>
        <w:t>suppress quantities and attributions; coverage is therefore a lower bound, and</w:t>
        <w:br/>
        <w:t>the 385,000</w:t>
      </w:r>
      <w:r>
        <w:rPr>
          <w:i/>
          <w:sz w:val="22"/>
        </w:rPr>
        <w:t>gur</w:t>
      </w:r>
      <w:r>
        <w:rPr>
          <w:sz w:val="22"/>
        </w:rPr>
        <w:t>of untyped capacity reflects lost commodity words.</w:t>
        <w:br/>
        <w:t>(ii)</w:t>
      </w:r>
      <w:r>
        <w:rPr>
          <w:i/>
          <w:sz w:val="22"/>
        </w:rPr>
        <w:t>Prosopographic noise.</w:t>
      </w:r>
      <w:r>
        <w:rPr>
          <w:sz w:val="22"/>
        </w:rPr>
        <w:t>The entity index conflates frequent</w:t>
        <w:br/>
        <w:t>commodity words (</w:t>
      </w:r>
      <w:r>
        <w:rPr>
          <w:i/>
          <w:sz w:val="22"/>
        </w:rPr>
        <w:t>kaš</w:t>
      </w:r>
      <w:r>
        <w:rPr>
          <w:sz w:val="22"/>
        </w:rPr>
        <w:t>,</w:t>
      </w:r>
      <w:r>
        <w:rPr>
          <w:i/>
          <w:sz w:val="22"/>
        </w:rPr>
        <w:t>ninda</w:t>
      </w:r>
      <w:r>
        <w:rPr>
          <w:sz w:val="22"/>
        </w:rPr>
        <w:t>,</w:t>
      </w:r>
      <w:r>
        <w:rPr>
          <w:i/>
          <w:sz w:val="22"/>
        </w:rPr>
        <w:t>udu</w:t>
      </w:r>
      <w:r>
        <w:rPr>
          <w:sz w:val="22"/>
        </w:rPr>
        <w:t>) with personal</w:t>
        <w:br/>
        <w:t>names at the head of the frequency table; genuine-person analysis should work</w:t>
        <w:br/>
        <w:t>from the patronymic-anchored subset. (iii)</w:t>
      </w:r>
      <w:r>
        <w:rPr>
          <w:i/>
          <w:sz w:val="22"/>
        </w:rPr>
        <w:t>Survivorship.</w:t>
      </w:r>
      <w:r>
        <w:rPr>
          <w:sz w:val="22"/>
        </w:rPr>
        <w:t>The temporal</w:t>
        <w:br/>
        <w:t>and provincial distribution tracks which archives were excavated and published,</w:t>
        <w:br/>
        <w:t>not the ancient economy's true shape. (iv)</w:t>
      </w:r>
      <w:r>
        <w:rPr>
          <w:i/>
          <w:sz w:val="22"/>
        </w:rPr>
        <w:t>Double-counting at the margin.</w:t>
      </w:r>
      <w:r>
        <w:rPr>
          <w:sz w:val="22"/>
        </w:rPr>
        <w:t>Multi-section balanced accounts that re-state sub-section totals at several</w:t>
        <w:br/>
        <w:t>levels remain the hardest residual case; we suppress the canonical</w:t>
      </w:r>
      <w:r>
        <w:rPr>
          <w:i/>
          <w:sz w:val="22"/>
        </w:rPr>
        <w:t>šunigin</w:t>
      </w:r>
      <w:r>
        <w:rPr>
          <w:sz w:val="22"/>
        </w:rPr>
        <w:t>/</w:t>
      </w:r>
      <w:r>
        <w:rPr>
          <w:i/>
          <w:sz w:val="22"/>
        </w:rPr>
        <w:t>sag-nig₂-gur₁₁</w:t>
      </w:r>
      <w:r>
        <w:rPr>
          <w:sz w:val="22"/>
        </w:rPr>
        <w:t>restatements but</w:t>
        <w:br/>
        <w:t>cannot guarantee zero leakage on idiosyncratic ledgers.</w:t>
      </w:r>
    </w:p>
    <w:p>
      <w:pPr>
        <w:spacing w:before="280" w:after="120"/>
        <w:pBdr>
          <w:bottom w:val="single" w:sz="6" w:space="1" w:color="B8860B"/>
        </w:pBdr>
      </w:pPr>
      <w:r>
        <w:rPr>
          <w:b/>
          <w:color w:val="5A3A12"/>
          <w:sz w:val="26"/>
        </w:rPr>
        <w:t>8. Conclusion</w:t>
      </w:r>
    </w:p>
    <w:p>
      <w:pPr>
        <w:spacing w:after="140"/>
        <w:jc w:val="both"/>
      </w:pPr>
      <w:r>
        <w:rPr>
          <w:sz w:val="22"/>
        </w:rPr>
        <w:t>A deterministic, test-driven pipeline can convert 135,199 raw cuneiform</w:t>
        <w:br/>
        <w:t>transliterations into a quantitatively coherent picture of the Ur III grain</w:t>
        <w:br/>
        <w:t>economy: 2.275 milliongurof cereal moving through a sharply</w:t>
        <w:br/>
        <w:t>two-regime distribution, organised as a broker-mediated</w:t>
        <w:br/>
        <w:t>redistributive network terminating at the royal granary. The decisive technical</w:t>
        <w:br/>
        <w:t>lesson is that mass extraction from such corpora is governed by negative</w:t>
        <w:br/>
        <w:t>classification—by the disciplined, linguistically-grounded refusal to count what</w:t>
        <w:br/>
        <w:t>merely looks like grain. The accompanying 144-test regression suite operationalises</w:t>
        <w:br/>
        <w:t>that discipline and is, we argue, the methodology's most transferable component.</w:t>
        <w:br/>
        <w:t>Future work will extend context-sensitive recovery to the untyped-capacity</w:t>
        <w:br/>
        <w:t>residue and apply the same negative-classification framework to the silver and</w:t>
        <w:br/>
        <w:t>livestock channels.</w:t>
      </w:r>
      <w:r>
        <w:rPr>
          <w:i/>
          <w:sz w:val="22"/>
        </w:rPr>
      </w:r>
      <w:r>
        <w:rPr>
          <w:sz w:val="22"/>
        </w:rPr>
      </w:r>
    </w:p>
    <w:p>
      <w:pPr>
        <w:pBdr>
          <w:bottom w:val="single" w:sz="6" w:space="1" w:color="DDD6C5"/>
        </w:pBdr>
      </w:pPr>
    </w:p>
    <w:p>
      <w:pPr>
        <w:spacing w:before="280" w:after="120"/>
        <w:pBdr>
          <w:bottom w:val="single" w:sz="6" w:space="1" w:color="B8860B"/>
        </w:pBdr>
      </w:pPr>
      <w:r>
        <w:rPr>
          <w:b/>
          <w:color w:val="5A3A12"/>
          <w:sz w:val="26"/>
        </w:rPr>
        <w:t>Data and Code Availability</w:t>
      </w:r>
    </w:p>
    <w:p>
      <w:pPr>
        <w:spacing w:after="140"/>
        <w:jc w:val="both"/>
      </w:pPr>
      <w:r>
        <w:rPr>
          <w:sz w:val="22"/>
        </w:rPr>
        <w:t>All extraction code, the 144-test regression suite, and the</w:t>
        <w:br/>
        <w:t>derived transaction/record/entity tables are available in the repository</w:t>
      </w:r>
      <w:r>
        <w:rPr>
          <w:rFonts w:ascii="Courier New" w:hAnsi="Courier New"/>
          <w:sz w:val="19"/>
        </w:rPr>
        <w:t>asarodan/sumer</w:t>
      </w:r>
      <w:r>
        <w:rPr>
          <w:sz w:val="22"/>
        </w:rPr>
        <w:t>. Figures in this paper are regenerated from</w:t>
      </w:r>
      <w:r>
        <w:rPr>
          <w:rFonts w:ascii="Courier New" w:hAnsi="Courier New"/>
          <w:sz w:val="19"/>
        </w:rPr>
        <w:t>output/figures/</w:t>
      </w:r>
      <w:r>
        <w:rPr>
          <w:sz w:val="22"/>
        </w:rPr>
        <w:t>by</w:t>
      </w:r>
      <w:r>
        <w:rPr>
          <w:rFonts w:ascii="Courier New" w:hAnsi="Courier New"/>
          <w:sz w:val="19"/>
        </w:rPr>
        <w:t>tools/make_paper_figures.py</w:t>
      </w:r>
      <w:r>
        <w:rPr>
          <w:sz w:val="22"/>
        </w:rPr>
        <w:t>and</w:t>
      </w:r>
      <w:r>
        <w:rPr>
          <w:rFonts w:ascii="Courier New" w:hAnsi="Courier New"/>
          <w:sz w:val="19"/>
        </w:rPr>
        <w:t>tools/make_network_figure.py</w:t>
      </w:r>
      <w:r>
        <w:rPr>
          <w:sz w:val="22"/>
        </w:rPr>
        <w:t>over the CDLI bulk ATF export. The</w:t>
        <w:br/>
        <w:t>CDLI corpus is distributed by the Cuneiform Digital Library Initiative under its</w:t>
        <w:br/>
        <w:t>data-sharing terms.</w:t>
      </w:r>
    </w:p>
    <w:p>
      <w:pPr>
        <w:spacing w:after="80"/>
        <w:ind w:left="360" w:hanging="360"/>
      </w:pPr>
      <w:r>
        <w:rPr>
          <w:sz w:val="22"/>
        </w:rPr>
        <w:t>Cuneiform Digital Library Initiative (CDLI).</w:t>
      </w:r>
      <w:r>
        <w:rPr>
          <w:i/>
          <w:sz w:val="22"/>
        </w:rPr>
        <w:t>Ur III administrative</w:t>
        <w:br/>
        <w:t>corpus, ATF bulk export.</w:t>
      </w:r>
      <w:r>
        <w:rPr>
          <w:sz w:val="22"/>
        </w:rPr>
        <w:t>cdli.mpiwg-berlin.mpg.de.</w:t>
      </w:r>
    </w:p>
    <w:p>
      <w:pPr>
        <w:spacing w:after="80"/>
        <w:ind w:left="360" w:hanging="360"/>
      </w:pPr>
      <w:r>
        <w:rPr>
          <w:sz w:val="22"/>
        </w:rPr>
        <w:t>Englund, R. K. (2012). "Equivalency Values and the Command Economy of the Ur</w:t>
        <w:br/>
        <w:t>III Period in Mesopotamia." In</w:t>
      </w:r>
      <w:r>
        <w:rPr>
          <w:i/>
          <w:sz w:val="22"/>
        </w:rPr>
        <w:t>The Construction of Value in the Ancient</w:t>
        <w:br/>
        <w:t>World</w:t>
      </w:r>
      <w:r>
        <w:rPr>
          <w:sz w:val="22"/>
        </w:rPr>
        <w:t>, 427–458.</w:t>
      </w:r>
    </w:p>
    <w:p>
      <w:pPr>
        <w:spacing w:after="80"/>
        <w:ind w:left="360" w:hanging="360"/>
      </w:pPr>
      <w:r>
        <w:rPr>
          <w:sz w:val="22"/>
        </w:rPr>
        <w:t>Garfinkle, S. J. (2015). "Ur III Administrative Texts: Building Blocks of</w:t>
        <w:br/>
        <w:t>State Community." In</w:t>
      </w:r>
      <w:r>
        <w:rPr>
          <w:i/>
          <w:sz w:val="22"/>
        </w:rPr>
        <w:t>From the 21st Century B.C. to the 21st Century A.D.</w:t>
      </w:r>
    </w:p>
    <w:p>
      <w:pPr>
        <w:spacing w:after="80"/>
        <w:ind w:left="360" w:hanging="360"/>
      </w:pPr>
      <w:r>
        <w:rPr>
          <w:sz w:val="22"/>
        </w:rPr>
        <w:t>Molina, M. (2008). "The Corpus of Neo-Sumerian Tablets: An Overview." In</w:t>
      </w:r>
      <w:r>
        <w:rPr>
          <w:i/>
          <w:sz w:val="22"/>
        </w:rPr>
        <w:t>The Growth of an Early State in Mesopotamia</w:t>
      </w:r>
      <w:r>
        <w:rPr>
          <w:sz w:val="22"/>
        </w:rPr>
        <w:t>, 19–53.</w:t>
      </w:r>
    </w:p>
    <w:p>
      <w:pPr>
        <w:spacing w:after="80"/>
        <w:ind w:left="360" w:hanging="360"/>
      </w:pPr>
      <w:r>
        <w:rPr>
          <w:sz w:val="22"/>
        </w:rPr>
        <w:t>Sallaberger, W. (1999). "Ur III-Zeit." In</w:t>
      </w:r>
      <w:r>
        <w:rPr>
          <w:i/>
          <w:sz w:val="22"/>
        </w:rPr>
        <w:t>Mesopotamien: Akkade-Zeit und</w:t>
        <w:br/>
        <w:t>Ur III-Zeit</w:t>
      </w:r>
      <w:r>
        <w:rPr>
          <w:sz w:val="22"/>
        </w:rPr>
        <w:t>, OBO 160/3, 121–390.</w:t>
      </w:r>
    </w:p>
    <w:p>
      <w:pPr>
        <w:spacing w:after="80"/>
        <w:ind w:left="360" w:hanging="360"/>
      </w:pPr>
      <w:r>
        <w:rPr>
          <w:sz w:val="22"/>
        </w:rPr>
        <w:t>Widell, M. (2004). "Reflections on Some Households and their Receiving</w:t>
        <w:br/>
        <w:t>Officials in the City of Ur in the Ur III Period."</w:t>
      </w:r>
      <w:r>
        <w:rPr>
          <w:i/>
          <w:sz w:val="22"/>
        </w:rPr>
        <w:t>JNES</w:t>
      </w:r>
      <w:r>
        <w:rPr>
          <w:sz w:val="22"/>
        </w:rPr>
        <w:t>63, 283–290.</w:t>
      </w:r>
    </w:p>
    <w:p>
      <w:pPr>
        <w:spacing w:after="140"/>
        <w:jc w:val="both"/>
      </w:pPr>
      <w:r>
        <w:rPr>
          <w:sz w:val="22"/>
        </w:rPr>
        <w:t>Manuscript compiled from pipeline output · corpus snapshot:</w:t>
        <w:br/>
        <w:t>135,199 tablets · 220,034 transactions · 2.275 Mgurcapacity.</w:t>
      </w:r>
      <w:r>
        <w:rPr>
          <w:i/>
          <w:sz w:val="22"/>
        </w:rPr>
      </w:r>
      <w:r>
        <w:rPr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