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E593E5D" w:rsidP="5E593E5D" w:rsidRDefault="5E593E5D" w14:paraId="3B709962" w14:textId="514E2246">
      <w:pPr>
        <w:spacing w:before="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 xml:space="preserve">6.0 Application Header </w:t>
      </w:r>
    </w:p>
    <w:p w:rsidR="5E593E5D" w:rsidP="5E593E5D" w:rsidRDefault="5E593E5D" w14:paraId="5BF217C2" w14:textId="361AB26B">
      <w:pPr>
        <w:spacing w:after="16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Runs across the top of the page and appears on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AU"/>
        </w:rPr>
        <w:t>every page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of </w:t>
      </w: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Lexcen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. The purpose is to house features common across all users and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functions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and efficiently and effectively convey exactly where they are and what is available.</w:t>
      </w:r>
    </w:p>
    <w:p w:rsidR="5E593E5D" w:rsidP="5E593E5D" w:rsidRDefault="5E593E5D" w14:noSpellErr="1" w14:paraId="0273261B" w14:textId="36E94A7B">
      <w:pPr>
        <w:pStyle w:val="ListParagraph"/>
        <w:numPr>
          <w:ilvl w:val="0"/>
          <w:numId w:val="7"/>
        </w:numPr>
        <w:spacing w:after="160" w:line="240" w:lineRule="exact"/>
        <w:rPr>
          <w:noProof w:val="0"/>
          <w:color w:val="000000" w:themeColor="text1" w:themeTint="FF" w:themeShade="FF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Menu toggle (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AU"/>
        </w:rPr>
        <w:t>III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) - To be placed top left and show/hide the navigation menu.</w:t>
      </w:r>
    </w:p>
    <w:p w:rsidR="5E593E5D" w:rsidP="5E593E5D" w:rsidRDefault="5E593E5D" w14:paraId="05EF7497" w14:textId="035D1754">
      <w:pPr>
        <w:pStyle w:val="ListParagraph"/>
        <w:numPr>
          <w:ilvl w:val="0"/>
          <w:numId w:val="7"/>
        </w:numPr>
        <w:spacing w:after="160" w:line="240" w:lineRule="exact"/>
        <w:rPr>
          <w:noProof w:val="0"/>
          <w:color w:val="000000" w:themeColor="text1" w:themeTint="FF" w:themeShade="FF"/>
          <w:sz w:val="22"/>
          <w:szCs w:val="22"/>
          <w:lang w:val="en-AU"/>
        </w:rPr>
      </w:pP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Lexen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Logo - To be placed immediately on the right of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AU"/>
        </w:rPr>
        <w:t xml:space="preserve">"III",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image provided in the banding file - </w:t>
      </w:r>
    </w:p>
    <w:p w:rsidR="5E593E5D" w:rsidP="5E593E5D" w:rsidRDefault="5E593E5D" w14:noSpellErr="1" w14:paraId="0DDC141F" w14:textId="0BB84300">
      <w:pPr>
        <w:pStyle w:val="ListParagraph"/>
        <w:numPr>
          <w:ilvl w:val="0"/>
          <w:numId w:val="7"/>
        </w:numPr>
        <w:spacing w:after="160" w:line="240" w:lineRule="exact"/>
        <w:rPr>
          <w:noProof w:val="0"/>
          <w:color w:val="000000" w:themeColor="text1" w:themeTint="FF" w:themeShade="FF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Search – A two-line search box. The first line is used for search input, whereas the second displays scope of the workspace. Centre aligned. </w:t>
      </w:r>
    </w:p>
    <w:p w:rsidR="5E593E5D" w:rsidP="5E593E5D" w:rsidRDefault="5E593E5D" w14:paraId="3C2900F8" w14:textId="2D33229B">
      <w:pPr>
        <w:pStyle w:val="ListParagraph"/>
        <w:numPr>
          <w:ilvl w:val="0"/>
          <w:numId w:val="7"/>
        </w:numPr>
        <w:spacing w:after="160" w:line="240" w:lineRule="exact"/>
        <w:rPr>
          <w:noProof w:val="0"/>
          <w:color w:val="000000" w:themeColor="text1" w:themeTint="FF" w:themeShade="FF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User – A user avatar, with the name of the user in text below it. Clicking on it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allows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you to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logout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and redirects you to the </w:t>
      </w: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lexcen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website. </w:t>
      </w:r>
    </w:p>
    <w:p w:rsidR="5E593E5D" w:rsidP="5E593E5D" w:rsidRDefault="5E593E5D" w14:paraId="59B305DF" w14:textId="79C3FDE7">
      <w:pPr>
        <w:spacing w:before="4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6.1 UI Wireframes  </w:t>
      </w:r>
    </w:p>
    <w:p w:rsidR="5E593E5D" w:rsidP="5E593E5D" w:rsidRDefault="5E593E5D" w14:noSpellErr="1" w14:paraId="6531677B" w14:textId="360B715C">
      <w:pPr>
        <w:spacing w:after="16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Header</w:t>
      </w:r>
    </w:p>
    <w:p w:rsidR="5E593E5D" w:rsidP="5E593E5D" w:rsidRDefault="5E593E5D" w14:paraId="3C53C89B" w14:textId="13D28F05">
      <w:pPr>
        <w:spacing w:after="16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</w:pPr>
      <w:r>
        <w:drawing>
          <wp:inline wp14:editId="5EDAED75" wp14:anchorId="5B112ABC">
            <wp:extent cx="4572000" cy="342900"/>
            <wp:effectExtent l="0" t="0" r="0" b="0"/>
            <wp:docPr id="4623730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2f230f36fd2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93E5D" w:rsidP="5E593E5D" w:rsidRDefault="5E593E5D" w14:noSpellErr="1" w14:paraId="3A5440B3" w14:textId="081C4F31">
      <w:pPr>
        <w:spacing w:after="16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Menu style/functionality to be based on </w:t>
      </w:r>
      <w:hyperlink r:id="R6bf3d7d74c594dcd">
        <w:r w:rsidRPr="5E593E5D" w:rsidR="5E593E5D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2"/>
            <w:szCs w:val="22"/>
            <w:u w:val="single"/>
            <w:lang w:val="en-US"/>
          </w:rPr>
          <w:t>http://www.abc.net.au/</w:t>
        </w:r>
      </w:hyperlink>
    </w:p>
    <w:p w:rsidR="5E593E5D" w:rsidP="5E593E5D" w:rsidRDefault="5E593E5D" w14:noSpellErr="1" w14:paraId="5E72EE93" w14:textId="5FFDB1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26CF3A10" wp14:anchorId="3CE3817B">
            <wp:extent cx="4086225" cy="3876675"/>
            <wp:effectExtent l="0" t="0" r="0" b="0"/>
            <wp:docPr id="12216699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f6cfe1124c7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93E5D" w:rsidP="5E593E5D" w:rsidRDefault="5E593E5D" w14:noSpellErr="1" w14:paraId="4B916939" w14:textId="355E39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User Avatar – We need to agree on if we want to use an icon or just a circle with the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first initials from name like cisco.</w:t>
      </w:r>
    </w:p>
    <w:p w:rsidR="5E593E5D" w:rsidP="5E593E5D" w:rsidRDefault="5E593E5D" w14:noSpellErr="1" w14:paraId="44A7598B" w14:textId="15DDE5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Logo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–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Provided in the separate file. We need to use the “CYAN” coloured half cloud version. As below.</w:t>
      </w:r>
    </w:p>
    <w:p w:rsidR="5E593E5D" w:rsidP="5E593E5D" w:rsidRDefault="5E593E5D" w14:noSpellErr="1" w14:paraId="731B5841" w14:textId="712E4D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7F083545" wp14:anchorId="4751A940">
            <wp:extent cx="2571750" cy="1371600"/>
            <wp:effectExtent l="0" t="0" r="0" b="0"/>
            <wp:docPr id="5240034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a2ffdaf48b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93E5D" w:rsidP="5E593E5D" w:rsidRDefault="5E593E5D" w14:noSpellErr="1" w14:paraId="6DF741B1" w14:textId="0B88F7F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Search – example of two lines</w:t>
      </w:r>
    </w:p>
    <w:p w:rsidR="5E593E5D" w:rsidP="5E593E5D" w:rsidRDefault="5E593E5D" w14:noSpellErr="1" w14:paraId="5C7131B5" w14:textId="15C69E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</w:t>
      </w:r>
      <w:r>
        <w:drawing>
          <wp:inline wp14:editId="6264AE99" wp14:anchorId="1A639F53">
            <wp:extent cx="4514850" cy="609600"/>
            <wp:effectExtent l="0" t="0" r="0" b="0"/>
            <wp:docPr id="17601399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7db2151f87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93E5D" w:rsidP="5E593E5D" w:rsidRDefault="5E593E5D" w14:paraId="702795F5" w14:textId="074613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Ordering of results – </w:t>
      </w: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Lexcen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DB First, then web </w:t>
      </w:r>
    </w:p>
    <w:p w:rsidR="5E593E5D" w:rsidP="5E593E5D" w:rsidRDefault="5E593E5D" w14:noSpellErr="1" w14:paraId="2BAC766B" w14:textId="70113F52">
      <w:pPr>
        <w:pStyle w:val="Normal"/>
        <w:spacing w:before="4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>
        <w:drawing>
          <wp:inline wp14:editId="0BC4DC6F" wp14:anchorId="17F76ECD">
            <wp:extent cx="2838450" cy="2066925"/>
            <wp:effectExtent l="0" t="0" r="0" b="0"/>
            <wp:docPr id="1767202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9c182b8b50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93E5D" w:rsidP="5E593E5D" w:rsidRDefault="5E593E5D" w14:noSpellErr="1" w14:paraId="5FB3C0A9" w14:textId="5A67FFE3">
      <w:pPr>
        <w:spacing w:before="4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5.2 User Story Flow Chart (TBA) </w:t>
      </w:r>
    </w:p>
    <w:p w:rsidR="5E593E5D" w:rsidP="5E593E5D" w:rsidRDefault="5E593E5D" w14:noSpellErr="1" w14:paraId="7DD0BAB9" w14:textId="49BB544C">
      <w:pPr>
        <w:spacing w:before="4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5.3 Screen Logic</w:t>
      </w:r>
    </w:p>
    <w:p w:rsidR="5E593E5D" w:rsidP="5E593E5D" w:rsidRDefault="5E593E5D" w14:noSpellErr="1" w14:paraId="05191E09" w14:textId="609A9205">
      <w:pPr>
        <w:spacing w:before="4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Menu</w:t>
      </w:r>
    </w:p>
    <w:p w:rsidR="5E593E5D" w:rsidP="5E593E5D" w:rsidRDefault="5E593E5D" w14:noSpellErr="1" w14:paraId="4E3ED767" w14:textId="71F5F542">
      <w:pPr>
        <w:pStyle w:val="Normal"/>
        <w:spacing w:before="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Level 1</w:t>
      </w:r>
    </w:p>
    <w:p w:rsidR="5E593E5D" w:rsidP="5E593E5D" w:rsidRDefault="5E593E5D" w14:noSpellErr="1" w14:paraId="75D4AA2D" w14:textId="73008DD7">
      <w:pPr>
        <w:pStyle w:val="Normal"/>
        <w:spacing w:before="4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09BF8489" wp14:anchorId="3FB1EFB5">
            <wp:extent cx="4572000" cy="342900"/>
            <wp:effectExtent l="0" t="0" r="0" b="0"/>
            <wp:docPr id="8195075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bd1077067b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93E5D" w:rsidP="5E593E5D" w:rsidRDefault="5E593E5D" w14:noSpellErr="1" w14:paraId="4350E05C" w14:textId="647F647B">
      <w:pPr>
        <w:pStyle w:val="Normal"/>
        <w:bidi w:val="0"/>
        <w:spacing w:before="4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Level 2</w:t>
      </w:r>
    </w:p>
    <w:p w:rsidR="5E593E5D" w:rsidP="5E593E5D" w:rsidRDefault="5E593E5D" w14:noSpellErr="1" w14:paraId="15AF8AF3" w14:textId="250E4771">
      <w:pPr>
        <w:pStyle w:val="Normal"/>
        <w:spacing w:before="4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66967164" wp14:anchorId="6488D338">
            <wp:extent cx="4572000" cy="1200150"/>
            <wp:effectExtent l="0" t="0" r="0" b="0"/>
            <wp:docPr id="3727278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088c6ea41bc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93E5D" w:rsidP="5E593E5D" w:rsidRDefault="5E593E5D" w14:noSpellErr="1" w14:paraId="12D900C1" w14:textId="78225F26">
      <w:pPr>
        <w:pStyle w:val="Normal"/>
        <w:spacing w:before="4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Each of these items would either open a new link outside the application in a new tab or load the body of the application with a new page.</w:t>
      </w:r>
    </w:p>
    <w:p w:rsidR="5E593E5D" w:rsidP="5E593E5D" w:rsidRDefault="5E593E5D" w14:noSpellErr="1" w14:paraId="1A5791BB" w14:textId="18D058A9">
      <w:pPr>
        <w:pStyle w:val="Normal"/>
        <w:spacing w:before="4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Menu data should be populated using a Backend API call, could just read from a menu Json object.</w:t>
      </w:r>
    </w:p>
    <w:p w:rsidR="5E593E5D" w:rsidP="5E593E5D" w:rsidRDefault="5E593E5D" w14:noSpellErr="1" w14:paraId="27AE2748" w14:textId="720F9107">
      <w:pPr>
        <w:pStyle w:val="Normal"/>
        <w:spacing w:before="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Search</w:t>
      </w:r>
    </w:p>
    <w:p w:rsidR="5E593E5D" w:rsidP="5E593E5D" w:rsidRDefault="5E593E5D" w14:noSpellErr="1" w14:paraId="5B39AF40" w14:textId="1AC646F7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A context aware search mechanism that allows users to first search and then reduce the effort required to complete the action by collating and prepopulating as much information as possible.</w:t>
      </w:r>
    </w:p>
    <w:p w:rsidR="5E593E5D" w:rsidP="5E593E5D" w:rsidRDefault="5E593E5D" w14:noSpellErr="1" w14:paraId="7EE94585" w14:textId="41A93509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AU"/>
        </w:rPr>
        <w:t>Sub Elements</w:t>
      </w:r>
    </w:p>
    <w:p w:rsidR="5E593E5D" w:rsidP="5E593E5D" w:rsidRDefault="5E593E5D" w14:noSpellErr="1" w14:paraId="7C1AE41C" w14:textId="0988EE02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1.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Type forward – Displays recommended items in a list of 4 from Laxen and4 from the WEB (google to start with and we will add others in the future).</w:t>
      </w:r>
    </w:p>
    <w:p w:rsidR="5E593E5D" w:rsidP="5E593E5D" w:rsidRDefault="5E593E5D" w14:noSpellErr="1" w14:paraId="0AA048C4" w14:textId="7CA78C96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Type forward search will show the following </w:t>
      </w:r>
    </w:p>
    <w:p w:rsidR="5E593E5D" w:rsidP="5E593E5D" w:rsidRDefault="5E593E5D" w14:paraId="7A65811C" w14:textId="40C634B4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- Existing Customers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- Customer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Name - {</w:t>
      </w: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SolutionID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} Solution Description.  The results will Hyperlink to the "Workspace" loading the solution. </w:t>
      </w:r>
    </w:p>
    <w:p w:rsidR="5E593E5D" w:rsidP="5E593E5D" w:rsidRDefault="5E593E5D" w14:paraId="6B04D6AF" w14:textId="1412F1D2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- If no customers are found - it will display top three results from the  </w:t>
      </w: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GooglePlacesAPI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- </w:t>
      </w: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BuisnessName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- business address.  Clicking on these will take you to a new page for reviewing the data collected for customer/site creation. We should consider using the dashboard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list view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to populate the search results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*Future </w:t>
      </w: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usecase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*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.</w:t>
      </w:r>
    </w:p>
    <w:p w:rsidR="5E593E5D" w:rsidP="5E593E5D" w:rsidRDefault="5E593E5D" w14:paraId="4782D424" w14:textId="3F06D09E">
      <w:pPr>
        <w:pStyle w:val="Normal"/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2. Scope/Tags - Immediately under/above the search input box would be the Search Scope box.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This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would display the current filters being applied to the search. Along with the ability to reset all filters and start from scratch. When you are working on a "Solution" these tags would be automatically populated with Tag1. Customer Tag2. Solution description being worked on. Tag1. Customer would be locked and not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allowed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to be when in the context of a workspace.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*Future </w:t>
      </w: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usecase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*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.</w:t>
      </w:r>
    </w:p>
    <w:p w:rsidR="5E593E5D" w:rsidP="5E593E5D" w:rsidRDefault="5E593E5D" w14:noSpellErr="1" w14:paraId="69437D77" w14:textId="3027FCFC">
      <w:pPr>
        <w:spacing w:before="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User Avatar</w:t>
      </w:r>
    </w:p>
    <w:p w:rsidR="5E593E5D" w:rsidP="5E593E5D" w:rsidRDefault="5E593E5D" w14:noSpellErr="1" w14:paraId="39AC611E" w14:textId="7F6A8D1D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Always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- Display first letter in Caps for the users first name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.</w:t>
      </w:r>
    </w:p>
    <w:p w:rsidR="5E593E5D" w:rsidP="5E593E5D" w:rsidRDefault="5E593E5D" w14:noSpellErr="1" w14:paraId="124AF070" w14:textId="33704A9F">
      <w:pPr>
        <w:pStyle w:val="Normal"/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On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mouseover – it will we need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view see the basic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details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of the user (Full name, email, Application role and give the user the option to sign out)</w:t>
      </w:r>
    </w:p>
    <w:p w:rsidR="5E593E5D" w:rsidP="5E593E5D" w:rsidRDefault="5E593E5D" w14:paraId="58929BA3" w14:textId="7FC9FA53">
      <w:pPr>
        <w:pStyle w:val="Normal"/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On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sign-out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 xml:space="preserve"> redirect the user to the </w:t>
      </w: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Lexcen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AU"/>
        </w:rPr>
        <w:t>.com</w:t>
      </w:r>
    </w:p>
    <w:p w:rsidR="5E593E5D" w:rsidP="5E593E5D" w:rsidRDefault="5E593E5D" w14:noSpellErr="1" w14:paraId="7E2F0F52" w14:textId="58D13269">
      <w:pPr>
        <w:pStyle w:val="Normal"/>
        <w:spacing w:before="4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 xml:space="preserve">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5.4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data</w:t>
      </w:r>
    </w:p>
    <w:p w:rsidR="5E593E5D" w:rsidP="5E593E5D" w:rsidRDefault="5E593E5D" w14:paraId="449B8FA7" w14:textId="308ECE8F">
      <w:pPr>
        <w:spacing w:before="4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Searchdatalexcen.csv -- list of records we could use to filter for searching customers already in </w:t>
      </w: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lexcen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5E593E5D" w:rsidP="5E593E5D" w:rsidRDefault="5E593E5D" w14:noSpellErr="1" w14:paraId="70E8279F" w14:textId="31BB0C9D">
      <w:pPr>
        <w:spacing w:before="4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Searchdata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web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.csv -- list of records we could use to filter for searching customer 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info from google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5E593E5D" w:rsidP="5E593E5D" w:rsidRDefault="5E593E5D" w14:paraId="4E9E79DC" w14:textId="1130FF1C">
      <w:pPr>
        <w:pStyle w:val="Normal"/>
        <w:spacing w:before="4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User list – Just use the three of us for now and a default application role of “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Pre-sales</w:t>
      </w: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eng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”</w:t>
      </w:r>
    </w:p>
    <w:p w:rsidR="5E593E5D" w:rsidP="5E593E5D" w:rsidRDefault="5E593E5D" w14:paraId="5EF25DA3" w14:textId="4DD7BB4F">
      <w:pPr>
        <w:pStyle w:val="Normal"/>
        <w:spacing w:before="4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</w:p>
    <w:p w:rsidR="000346D1" w:rsidP="5E593E5D" w:rsidRDefault="000346D1" w14:paraId="34620283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  <w:u w:val="single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  <w:u w:val="single"/>
        </w:rPr>
        <w:t>Acceptance criteria</w:t>
      </w:r>
    </w:p>
    <w:p w:rsidR="000346D1" w:rsidP="5E593E5D" w:rsidRDefault="000346D1" w14:paraId="2F072326" w14:textId="77777777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Verify </w:t>
      </w:r>
      <w:proofErr w:type="gram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non functional</w:t>
      </w:r>
      <w:proofErr w:type="gram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requirements are met including:</w:t>
      </w:r>
    </w:p>
    <w:p w:rsidR="000346D1" w:rsidP="5E593E5D" w:rsidRDefault="000346D1" w14:paraId="3FDC2E30" w14:textId="4F2BF145" w14:noSpellErr="1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Browser support: Chrome, IE, Explorer, Safari and Firefox</w:t>
      </w:r>
    </w:p>
    <w:p w:rsidR="00E2381F" w:rsidP="5E593E5D" w:rsidRDefault="00E2381F" w14:paraId="63D3D582" w14:textId="00B8B562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Desktop, </w:t>
      </w: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iPAD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and Android tablets should be supported</w:t>
      </w:r>
    </w:p>
    <w:p w:rsidR="000346D1" w:rsidP="5E593E5D" w:rsidRDefault="000346D1" w14:paraId="7CE4C8EA" w14:textId="77777777" w14:noSpellErr="1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Screen resolutions of (TBD) result in a usable interface and the modal pop up is displayed correctly</w:t>
      </w:r>
    </w:p>
    <w:p w:rsidR="000346D1" w:rsidP="5E593E5D" w:rsidRDefault="000346D1" w14:paraId="6FFCC545" w14:textId="77777777" w14:noSpellErr="1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The interface does not present any significant lag after clicking the “Add” icon before displaying the modal pop up</w:t>
      </w:r>
    </w:p>
    <w:p w:rsidR="000346D1" w:rsidP="5E593E5D" w:rsidRDefault="000346D1" w14:paraId="4F28E978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The following software design guidelines are met:</w:t>
      </w:r>
    </w:p>
    <w:p w:rsidR="000346D1" w:rsidP="5E593E5D" w:rsidRDefault="000346D1" w14:paraId="6F916EBE" w14:textId="77777777" w14:noSpellErr="1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The list of display actions in the modal popup may be extended by changes in the backend without requiring a change of </w:t>
      </w:r>
      <w:proofErr w:type="gram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client side</w:t>
      </w:r>
      <w:proofErr w:type="gram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code</w:t>
      </w:r>
    </w:p>
    <w:p w:rsidR="000346D1" w:rsidP="5E593E5D" w:rsidRDefault="000346D1" w14:paraId="39525A2C" w14:textId="77777777" w14:noSpellErr="1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Client should leverage capability of AWS AppSync SDK</w:t>
      </w:r>
    </w:p>
    <w:p w:rsidR="000346D1" w:rsidP="5E593E5D" w:rsidRDefault="000346D1" w14:paraId="275A1A3C" w14:textId="77777777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The client – backend exchange is restrained to a singular </w:t>
      </w:r>
      <w:proofErr w:type="spell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GraphQL</w:t>
      </w:r>
      <w:proofErr w:type="spell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query noting responses maybe cached for reuse within the </w:t>
      </w:r>
      <w:proofErr w:type="gramStart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client side</w:t>
      </w:r>
      <w:proofErr w:type="gramEnd"/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code and maybe pre-populated at the creation of the call flow (for developer to decide)</w:t>
      </w:r>
    </w:p>
    <w:p w:rsidR="000346D1" w:rsidP="5E593E5D" w:rsidRDefault="000346D1" w14:paraId="46AD37E1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The following regression testing items are noted, ensuring no bugs or undesired change in behaviour are introduced:</w:t>
      </w:r>
    </w:p>
    <w:p w:rsidRPr="00D92A67" w:rsidR="000346D1" w:rsidP="5E593E5D" w:rsidRDefault="000346D1" w14:paraId="7E458289" w14:textId="77777777" w14:noSpellErr="1">
      <w:pPr>
        <w:pStyle w:val="ListParagraph"/>
        <w:numPr>
          <w:ilvl w:val="0"/>
          <w:numId w:val="4"/>
        </w:numPr>
        <w:rPr>
          <w:color w:val="000000" w:themeColor="text1" w:themeTint="FF" w:themeShade="FF"/>
          <w:sz w:val="22"/>
          <w:szCs w:val="22"/>
        </w:rPr>
      </w:pPr>
      <w:r w:rsidRPr="5E593E5D" w:rsidR="5E593E5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None</w:t>
      </w:r>
    </w:p>
    <w:p w:rsidR="00826AA8" w:rsidP="5E593E5D" w:rsidRDefault="00826AA8" w14:paraId="4BADACC4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sectPr w:rsidR="00826AA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B22BC2"/>
    <w:multiLevelType w:val="hybridMultilevel"/>
    <w:tmpl w:val="B792EFA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6B38AD"/>
    <w:multiLevelType w:val="hybridMultilevel"/>
    <w:tmpl w:val="1EFC13E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A37633"/>
    <w:multiLevelType w:val="hybridMultilevel"/>
    <w:tmpl w:val="AEDA5CD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F670C8"/>
    <w:multiLevelType w:val="hybridMultilevel"/>
    <w:tmpl w:val="E8441BF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0A05A3"/>
    <w:multiLevelType w:val="hybridMultilevel"/>
    <w:tmpl w:val="FCB8C8A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F10721"/>
    <w:multiLevelType w:val="hybridMultilevel"/>
    <w:tmpl w:val="4A1A24D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D1"/>
    <w:rsid w:val="000346D1"/>
    <w:rsid w:val="001A29C2"/>
    <w:rsid w:val="003E3174"/>
    <w:rsid w:val="00826AA8"/>
    <w:rsid w:val="008B6E8C"/>
    <w:rsid w:val="00AD52CA"/>
    <w:rsid w:val="00E2381F"/>
    <w:rsid w:val="5E59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10DE"/>
  <w15:chartTrackingRefBased/>
  <w15:docId w15:val="{7CEDD4D8-C491-413B-8655-BAE5C4DB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346D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6D1"/>
    <w:pPr>
      <w:ind w:left="720"/>
      <w:contextualSpacing/>
    </w:pPr>
  </w:style>
  <w:style w:type="table" w:styleId="TableGrid">
    <w:name w:val="Table Grid"/>
    <w:basedOn w:val="TableNormal"/>
    <w:uiPriority w:val="39"/>
    <w:rsid w:val="000346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customXml" Target="ink/ink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ink/ink3.xml" Id="rId11" /><Relationship Type="http://schemas.openxmlformats.org/officeDocument/2006/relationships/webSettings" Target="webSettings.xml" Id="rId4" /><Relationship Type="http://schemas.openxmlformats.org/officeDocument/2006/relationships/customXml" Target="ink/ink2.xml" Id="rId9" /><Relationship Type="http://schemas.openxmlformats.org/officeDocument/2006/relationships/theme" Target="theme/theme1.xml" Id="rId14" /><Relationship Type="http://schemas.openxmlformats.org/officeDocument/2006/relationships/image" Target="/media/image6.png" Id="R72f230f36fd24fdf" /><Relationship Type="http://schemas.openxmlformats.org/officeDocument/2006/relationships/hyperlink" Target="http://www.abc.net.au/" TargetMode="External" Id="R6bf3d7d74c594dcd" /><Relationship Type="http://schemas.openxmlformats.org/officeDocument/2006/relationships/image" Target="/media/image7.png" Id="R9f6cfe1124c74b8c" /><Relationship Type="http://schemas.openxmlformats.org/officeDocument/2006/relationships/image" Target="/media/image8.png" Id="R4aa2ffdaf48b4bc8" /><Relationship Type="http://schemas.openxmlformats.org/officeDocument/2006/relationships/image" Target="/media/image.jpg" Id="Rb27db2151f874b41" /><Relationship Type="http://schemas.openxmlformats.org/officeDocument/2006/relationships/image" Target="/media/image2.jpg" Id="R869c182b8b504802" /><Relationship Type="http://schemas.openxmlformats.org/officeDocument/2006/relationships/image" Target="/media/image9.png" Id="R8fbd1077067b4820" /><Relationship Type="http://schemas.openxmlformats.org/officeDocument/2006/relationships/image" Target="/media/imagea.png" Id="R3088c6ea41bc4096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5T05:50:51.110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5T05:50:36.396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1 231,'3'0,"4"0,15 0,17 0,7 0,6 0,7 3,7 1,1 2,10 7,-2 1,-5 1,1 1,0 1,3 1,-8-4,-6-3,-10-4,-5 0,5 2,6-1,-1-2,0 2,-7-1,-2-2,2-2,0 0,-6-2,-3-1,3 0,3 3,-2 0,-7 1,-5-1,-2-1,-4-1,-2 0,-3-1,-1 0,-1 0,2 0,-2-3,2-2,0 2,1-1,-2 2,0 1,0 0,-1 1,3 0,6 0,3 0,4 0,0-3,0 0,-3-1,2 1,2-2,4-1,7-1,8-4,9-2,1-2,-2 2,-6-1,-5 3,2 0,2-1,6-2,0-1,0 2,-4 0,-5 2,-6 3,-7 3,-5 3,-5-3,-1 1,0 1,2-3,-2 1,-2 0,0 2,-1 0,-2-1,1 0,0 0,1 1,0 1,-1 1,-3 0,0 1,-2-3,-1-1,-1 1,4 0,0 1,0 1,0 0,-2 1,3 0,0 0,0 0,-1 0,-1 0,-2 0,1 0,-2 0,-2 3,-2 1,4 0,1-1,2-1,2 0,1-2,-1 1,0-1,-2 0,2-1,4 4,5 1,5 0,1-1,-2-1,-4-1,4 0,3 2,6 1,0 0,-3-1,-2-1,-1 2,7 4,0 0,-3 2,2-1,-2-2,-1 1,-3 2,0-1,1 2,-2-2,-8 1,-3 2,-3-2,-2-2,8 1,1-2,2-1,7 4,3 0,1-2,-1 1,-5 0,0-3,3-2,1-2,-1-1,-4 0,-2-1,-1-4,0 0,-3-3,-3-1,-1-1,2 1,2-2,2 1,-2 0,0 0,11-4,9-5,9-9,0-3,-4 1,-5 2,1 3,-6 5,-4 3,-3 1,-2 4,-1 0,-4-1,-3 2,-2 2,-1 0,-2 1,-3 1,-1 3,3 1,-1 1,6-2,2-1,-2 1,-3 0,-1 1,-3 1,-1 0,0 1,1 0,1 0,0 0,0 1,-2-1,3 0,3 0,1-3,-2-1,-1 0,-2 1,2 1,-1 1,0 0,1 0,10 1,4 1,3-1,3 0,6 3,7 1,9 6,-1 1,-8 2,2 1,-4-1,-5-3,-4-3,-4 0,0 2,-2-1,-3-1,-5 0,-3 3,-2 3,-3-2,-2-2,-2-3,-1-2,0-2,-1-1,0-1,0 0,0-1,1 1,-1-1,1 1,2 0,2 0,-1 0,0 0,-1 0,-1 0,-1 0,-3 3,2 4,1 0,3 0,1-1,-3 0,-7 0,-13 2,-8 2,-1 0,6-2,5-2,10-3,8-1,4-1,4-1,4 0,2-1,-2 1,7 2,2 5,4 4,3 2,6 3,-1 2,-5-3,-6-1,-3-2,-2-1,-1-2,-4 1,-4-2,-4-2,-2-2,1-2,-1-1,0 2,-1 1,-1 0,0-2,-1 0,-1-1,1 0,-1-1,4 0,3 0,1 0,0-1,-2 1,-2 0,-1 0,-2 0,0 0,0 0,-1 0,0 0,1 0,-1 0,-2 3,-5 4,-3 4,-3 3,-3 2,0 1,-2-2,0-3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5T05:50:26.314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Justin Martin</dc:creator>
  <keywords/>
  <dc:description/>
  <lastModifiedBy>Suket Pathak</lastModifiedBy>
  <revision>4</revision>
  <dcterms:created xsi:type="dcterms:W3CDTF">2018-09-15T05:33:00.0000000Z</dcterms:created>
  <dcterms:modified xsi:type="dcterms:W3CDTF">2018-09-19T02:35:33.3980212Z</dcterms:modified>
</coreProperties>
</file>