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/>
          <w:b/>
          <w:i w:val="0"/>
          <w:color w:val="1E1E1E"/>
          <w:sz w:val="36"/>
        </w:rPr>
        <w:t>Прогнозирование охвата и частоты рекламной кампании в аукционной системе VK Ads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Тематика программы: машинное обучение, анализ данных, рекламные технологии.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Направление: campaign performance forecasting и reach/frequency forecasting в аукционных рекламных системах.</w:t>
      </w:r>
    </w:p>
    <w:p>
      <w:pPr>
        <w:spacing w:before="240" w:after="120"/>
      </w:pPr>
      <w:r>
        <w:rPr>
          <w:rFonts w:ascii="Arial" w:hAnsi="Arial"/>
          <w:b/>
          <w:i w:val="0"/>
          <w:color w:val="1E1E1E"/>
          <w:sz w:val="32"/>
        </w:rPr>
        <w:t>Актуальность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Задача прогнозирования охвата рекламной кампании важна для рекламных платформ и рекламодателей, поскольку до запуска кампании необходимо оценивать не только ожидаемый объём показов, но и распределение контактов внутри целевой аудитории.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Один и тот же суммарный объём показов может соответствовать разным сценариям: много пользователей увидели рекламу один раз или небольшая группа пользователей получила несколько повторных контактов. Поэтому метрики 1+, 2+ и 3+ являются практически значимыми для планирования охвата и частоты.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Задача усложняется тем, что показы формируются через рекламный аукцион. На результат влияют ставка CPM, время запуска кампании, площадки, активность пользователей, доступный рекламный инвентарь и правило пользовательских сессий.</w:t>
      </w:r>
    </w:p>
    <w:p>
      <w:pPr>
        <w:spacing w:before="240" w:after="120"/>
      </w:pPr>
      <w:r>
        <w:rPr>
          <w:rFonts w:ascii="Arial" w:hAnsi="Arial"/>
          <w:b/>
          <w:i w:val="0"/>
          <w:color w:val="1E1E1E"/>
          <w:sz w:val="32"/>
        </w:rPr>
        <w:t>Обзор предметной области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Работа находится на пересечении нескольких направлений: прогнозирования эффективности рекламных кампаний, оценки охвата и частоты, а также моделирования рекламных аукционов.</w:t>
      </w:r>
    </w:p>
    <w:p>
      <w:pPr>
        <w:spacing w:before="160" w:after="80"/>
      </w:pPr>
      <w:r>
        <w:rPr>
          <w:rFonts w:ascii="Arial" w:hAnsi="Arial"/>
          <w:b/>
          <w:i w:val="0"/>
          <w:color w:val="1E1E1E"/>
          <w:sz w:val="26"/>
        </w:rPr>
        <w:t>1. Campaign performance forecasting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В современных работах по campaign performance forecasting, например AdVance, основное внимание уделяется прогнозированию агрегированных показателей кампании: стоимости, числа показов, кликов и конверсий. Такие модели используют богатые внутренние логи рекламных платформ: последовательности аукционов, клики, конверсии, candidate ads и поведенческие признаки пользователей.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Отличие данной работы состоит в другой целевой переменной: прогнозируются не агрегированные KPI кампании, а threshold reach - доли пользователей, получивших не менее 1, 2 и 3 показов.</w:t>
      </w:r>
    </w:p>
    <w:p>
      <w:pPr>
        <w:spacing w:before="160" w:after="80"/>
      </w:pPr>
      <w:r>
        <w:rPr>
          <w:rFonts w:ascii="Arial" w:hAnsi="Arial"/>
          <w:b/>
          <w:i w:val="0"/>
          <w:color w:val="1E1E1E"/>
          <w:sz w:val="26"/>
        </w:rPr>
        <w:t>2. Reach/frequency forecasting и frequency capping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В работах по reach measurement и frequency capping изучаются охват, частота контактов и ограничения на число показов одному пользователю. Это близко к рассматриваемой задаче по смыслу, однако чаще формулируется как задача измерения, оптимизации или ограничения частоты, а не как прогноз будущей кампании по ограниченным открытым аукционным логам.</w:t>
      </w:r>
    </w:p>
    <w:p>
      <w:pPr>
        <w:spacing w:before="160" w:after="80"/>
      </w:pPr>
      <w:r>
        <w:rPr>
          <w:rFonts w:ascii="Arial" w:hAnsi="Arial"/>
          <w:b/>
          <w:i w:val="0"/>
          <w:color w:val="1E1E1E"/>
          <w:sz w:val="26"/>
        </w:rPr>
        <w:t>3. Auction simulation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Работы по auction simulation, включая AuctionNet-подобные подходы, рассматривают моделирование рекламных аукционов и поведения bidding-стратегий. Они полезны как методологическая опора, но решают другую задачу: симуляцию или оптимизацию ставок, а не прогноз долей пользователей с 1+, 2+ и 3+ контактами.</w:t>
      </w:r>
    </w:p>
    <w:p>
      <w:pPr>
        <w:spacing w:before="160" w:after="80"/>
      </w:pPr>
      <w:r>
        <w:rPr>
          <w:rFonts w:ascii="Arial" w:hAnsi="Arial"/>
          <w:b/>
          <w:i w:val="0"/>
          <w:color w:val="1E1E1E"/>
          <w:sz w:val="26"/>
        </w:rPr>
        <w:t>Итог обзора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Близкие направления существуют, но точная публичная постановка с прогнозом P(N &gt;= 1), P(N &gt;= 2), P(N &gt;= 3) при ограниченных VK-like auction logs встречается редко. Поэтому вклад работы состоит в адаптации идей прогнозирования рекламных кампаний к задаче threshold reach forecasting с жёстким контролем data leakage.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Для фиксации новизны работа сопоставлялась не только по названию темы, но и по типу данных, целевой переменной и воспроизводимости постановки.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Направление</w:t>
            </w:r>
          </w:p>
        </w:tc>
        <w:tc>
          <w:tcPr>
            <w:tcW w:type="dxa" w:w="232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Что решает</w:t>
            </w:r>
          </w:p>
        </w:tc>
        <w:tc>
          <w:tcPr>
            <w:tcW w:type="dxa" w:w="249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Связь с работой</w:t>
            </w:r>
          </w:p>
        </w:tc>
        <w:tc>
          <w:tcPr>
            <w:tcW w:type="dxa" w:w="294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Отличие данной задачи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AdVance / campaign forecasting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Прогноз KPI кампаний: показы, клики, конверсии, стоимость.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Показывает актуальность прогнозирования рекламной эффективности.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Цель здесь не KPI кампании, а доли пользователей с 1+, 2+ и 3+ контактами; в открытых данных нет кликов, креативов и полных auction logs.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Reach measurement и frequency capping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Оценка охвата, частоты и ограничение повторных контактов.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Близкая предметная логика: важно распределение контактов по пользователям.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Чаще решается измерение или оптимизация частоты, а не прогноз будущей кампании по ограниченной истории показов.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Auction simulation / AuctionNet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Симуляция аукциона, bidding-стратегий и рекламной среды.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Даёт методологическую опору для учёта правил аукциона.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Фокус на симуляции и ставках; итоговая цель не threshold reach по заданной аудитории.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Данная работа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Прогноз at_least_one, at_least_two, at_least_three для будущей кампании.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Объединяет историю показов, CPM-аукцион, сессии и агрегацию вероятностей.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Постановка сделана для ограниченных VK-like логов и строгой temporal validation без data leakage.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i w:val="0"/>
          <w:color w:val="1E1E1E"/>
          <w:sz w:val="32"/>
        </w:rPr>
        <w:t>Постановка задачи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На вход подаются параметры будущей рекламной кампании: CPM, час начала и окончания, список площадок, размер аудитории и идентификаторы пользователей. Дополнительно доступны история показов и базовые пользовательские признаки.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На выходе необходимо предсказать три величины: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at_least_one - доля пользователей, увидевших объявление хотя бы один раз;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at_least_two - доля пользователей, увидевших объявление хотя бы два раза;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at_least_three - доля пользователей, увидевших объявление хотя бы три раза.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Формально для пользователя u из аудитории A рассматривается случайная величина N_u - число показов объявления этому пользователю. Тогда целевые значения задаются как средние вероятности по аудитории:</w:t>
      </w:r>
    </w:p>
    <w:p>
      <w:pPr>
        <w:spacing w:before="80" w:after="160"/>
        <w:jc w:val="center"/>
      </w:pPr>
      <w:r>
        <w:rPr>
          <w:rFonts w:ascii="Cambria Math" w:hAnsi="Cambria Math"/>
          <w:b w:val="0"/>
          <w:color w:val="141414"/>
          <w:sz w:val="22"/>
        </w:rPr>
        <w:t>at_least_k = (1 / |A|) * sum_{u in A} P(N_u &gt;= k),   k in {1, 2, 3}</w:t>
      </w:r>
    </w:p>
    <w:p>
      <w:pPr>
        <w:spacing w:before="240" w:after="120"/>
      </w:pPr>
      <w:r>
        <w:rPr>
          <w:rFonts w:ascii="Arial" w:hAnsi="Arial"/>
          <w:b/>
          <w:i w:val="0"/>
          <w:color w:val="1E1E1E"/>
          <w:sz w:val="32"/>
        </w:rPr>
        <w:t>Метод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В качестве основной модели выбран декомпозиционный replay-подход. Его идея состоит в том, чтобы не прогнозировать итоговый охват напрямую, а отдельно смоделировать исторический рекламный инвентарь, правила аукциона, пользовательские сессии и агрегацию вероятностей.</w:t>
      </w:r>
    </w:p>
    <w:p>
      <w:pPr>
        <w:spacing w:before="160" w:after="80"/>
      </w:pPr>
      <w:r>
        <w:rPr>
          <w:rFonts w:ascii="Arial" w:hAnsi="Arial"/>
          <w:b/>
          <w:i w:val="0"/>
          <w:color w:val="1E1E1E"/>
          <w:sz w:val="26"/>
        </w:rPr>
        <w:t>Правило выигрыша аукциона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Для каждого исторического события сравнивается CPM прогнозируемой кампании с winning CPM в истории. Вероятность выигрыша задаётся правилами задачи:</w:t>
      </w:r>
    </w:p>
    <w:p>
      <w:pPr>
        <w:spacing w:before="80" w:after="160"/>
        <w:jc w:val="center"/>
      </w:pPr>
      <w:r>
        <w:rPr>
          <w:rFonts w:ascii="Cambria Math" w:hAnsi="Cambria Math"/>
          <w:b w:val="0"/>
          <w:color w:val="141414"/>
          <w:sz w:val="22"/>
        </w:rPr>
        <w:t>P(win) = 1,   если cpm_campaign &gt; cpm_history</w:t>
      </w:r>
    </w:p>
    <w:p>
      <w:pPr>
        <w:spacing w:before="80" w:after="160"/>
        <w:jc w:val="center"/>
      </w:pPr>
      <w:r>
        <w:rPr>
          <w:rFonts w:ascii="Cambria Math" w:hAnsi="Cambria Math"/>
          <w:b w:val="0"/>
          <w:color w:val="141414"/>
          <w:sz w:val="22"/>
        </w:rPr>
        <w:t>P(win) = 0.5, если cpm_campaign = cpm_history</w:t>
      </w:r>
    </w:p>
    <w:p>
      <w:pPr>
        <w:spacing w:before="80" w:after="160"/>
        <w:jc w:val="center"/>
      </w:pPr>
      <w:r>
        <w:rPr>
          <w:rFonts w:ascii="Cambria Math" w:hAnsi="Cambria Math"/>
          <w:b w:val="0"/>
          <w:color w:val="141414"/>
          <w:sz w:val="22"/>
        </w:rPr>
        <w:t>P(win) = 0,   если cpm_campaign &lt; cpm_history</w:t>
      </w:r>
    </w:p>
    <w:p>
      <w:pPr>
        <w:spacing w:before="160" w:after="80"/>
      </w:pPr>
      <w:r>
        <w:rPr>
          <w:rFonts w:ascii="Arial" w:hAnsi="Arial"/>
          <w:b/>
          <w:i w:val="0"/>
          <w:color w:val="1E1E1E"/>
          <w:sz w:val="26"/>
        </w:rPr>
        <w:t>Учет пользовательских сессий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Система не показывает пользователю одно и то же объявление повторно внутри одной сессии. Новая сессия начинается после шести часов без показов. Поэтому показы сначала агрегируются на уровне пользовательских сессий, а затем для каждого пользователя вычисляется распределение числа выигранных сессий.</w:t>
      </w:r>
    </w:p>
    <w:p>
      <w:pPr>
        <w:spacing w:before="80" w:after="160"/>
        <w:jc w:val="center"/>
      </w:pPr>
      <w:r>
        <w:rPr>
          <w:rFonts w:ascii="Cambria Math" w:hAnsi="Cambria Math"/>
          <w:b w:val="0"/>
          <w:color w:val="141414"/>
          <w:sz w:val="22"/>
        </w:rPr>
        <w:t>P_u(0) = product_{s in S_u} (1 - p_s)</w:t>
      </w:r>
    </w:p>
    <w:p>
      <w:pPr>
        <w:spacing w:before="80" w:after="160"/>
        <w:jc w:val="center"/>
      </w:pPr>
      <w:r>
        <w:rPr>
          <w:rFonts w:ascii="Cambria Math" w:hAnsi="Cambria Math"/>
          <w:b w:val="0"/>
          <w:color w:val="141414"/>
          <w:sz w:val="22"/>
        </w:rPr>
        <w:t>P_u(N &gt;= 1) = 1 - P_u(0)</w:t>
      </w:r>
    </w:p>
    <w:p>
      <w:pPr>
        <w:spacing w:before="80" w:after="160"/>
        <w:jc w:val="center"/>
      </w:pPr>
      <w:r>
        <w:rPr>
          <w:rFonts w:ascii="Cambria Math" w:hAnsi="Cambria Math"/>
          <w:b w:val="0"/>
          <w:color w:val="141414"/>
          <w:sz w:val="22"/>
        </w:rPr>
        <w:t>P_u(N &gt;= 2) = 1 - P_u(0) - P_u(1)</w:t>
      </w:r>
    </w:p>
    <w:p>
      <w:pPr>
        <w:spacing w:before="80" w:after="160"/>
        <w:jc w:val="center"/>
      </w:pPr>
      <w:r>
        <w:rPr>
          <w:rFonts w:ascii="Cambria Math" w:hAnsi="Cambria Math"/>
          <w:b w:val="0"/>
          <w:color w:val="141414"/>
          <w:sz w:val="22"/>
        </w:rPr>
        <w:t>P_u(N &gt;= 3) = 1 - P_u(0) - P_u(1) - P_u(2)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Значения P_u(1) и P_u(2) вычисляются через Poisson-binomial динамическую агрегацию по вероятностям пользовательских сессий.</w:t>
      </w:r>
    </w:p>
    <w:p>
      <w:pPr>
        <w:spacing w:before="160" w:after="80"/>
      </w:pPr>
      <w:r>
        <w:rPr>
          <w:rFonts w:ascii="Arial" w:hAnsi="Arial"/>
          <w:b/>
          <w:i w:val="0"/>
          <w:color w:val="1E1E1E"/>
          <w:sz w:val="26"/>
        </w:rPr>
        <w:t>Исторические окна и blend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Чтобы учесть разные временные масштабы, используются несколько past-only исторических компонент: monthly, daily и weekly. Итоговый прогноз получается геометрическим blend в лог-пространстве, что согласовано с логарифмической метрикой качества.</w:t>
      </w:r>
    </w:p>
    <w:p>
      <w:pPr>
        <w:spacing w:before="80" w:after="160"/>
        <w:jc w:val="center"/>
      </w:pPr>
      <w:r>
        <w:rPr>
          <w:rFonts w:ascii="Cambria Math" w:hAnsi="Cambria Math"/>
          <w:b w:val="0"/>
          <w:color w:val="141414"/>
          <w:sz w:val="22"/>
        </w:rPr>
        <w:t>y_hat = exp(w_m log(y_m + eps) + w_d log(y_d + eps) + w_w log(y_w + eps)) - eps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Финальная конфигурация: daily_lags = 8, weekly_lags = 5, веса monthly/daily/weekly = 0.05 / 0.40 / 0.55, bias-калибровка отключена.</w:t>
      </w:r>
    </w:p>
    <w:p>
      <w:pPr>
        <w:spacing w:before="240" w:after="120"/>
      </w:pPr>
      <w:r>
        <w:rPr>
          <w:rFonts w:ascii="Arial" w:hAnsi="Arial"/>
          <w:b/>
          <w:i w:val="0"/>
          <w:color w:val="1E1E1E"/>
          <w:sz w:val="32"/>
        </w:rPr>
        <w:t>Защита от data leakage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Для временных рекламных данных особенно важно не использовать информацию из будущего. В работе реализован строгий validation protocol: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temporal split по времени запуска кампаний;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использование только past-only признаков и окон;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запрет на replay целевых часов validate;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отдельный locked final holdout;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фиксация прогноза и SHA-256 перед расчётом финальной метрики.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Открытая validation-выборка частично пересекается с history по времени, поэтому наивное использование history до каждого hour_start дало бы более низкую метрику, но не соответствовало бы hidden-test постановке. В финальной оценке используется строгий test-like режим: история режется до первого часа validate.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2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Потенциальный риск</w:t>
            </w:r>
          </w:p>
        </w:tc>
        <w:tc>
          <w:tcPr>
            <w:tcW w:type="dxa" w:w="3685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Как закрыт в работе</w:t>
            </w:r>
          </w:p>
        </w:tc>
        <w:tc>
          <w:tcPr>
            <w:tcW w:type="dxa" w:w="3175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Зачем это важно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Использование будущих показов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История ограничена cutoff до начала validate; признаки строятся только из прошлого.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Иначе модель видит будущий рекламный инвентарь и получает завышенную метрику.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Подбор весов на финальном тесте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Выбор конфигурации выполнен на development/calibration/pretest; final holdout закрыт до финального расчёта.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Финальная оценка остаётся проверкой обобщения, а не результатом ручной подгонки.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Повторные показы внутри сессии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История агрегируется в пользовательские сессии с правилом 6 часов.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Без этого частота контактов переоценивается, особенно для активных пользователей.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Сравнение с моделями из статей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Проводится концептуально по постановке, данным и целям, а не как прямой численный benchmark.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В статьях используются другие закрытые данные и другие целевые переменные.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i w:val="0"/>
          <w:color w:val="1E1E1E"/>
          <w:sz w:val="32"/>
        </w:rPr>
        <w:t>Базовые модели и эксперименты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Эксперименты были выстроены как последовательное усиление baseline: от простого исторического шаблона к декомпозиции по временным окнам, затем к калибровке и сравнению с ML-моделями. Такой дизайн позволил не только получить лучший скор, но и объяснить, почему финальная модель является более устойчивой.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Ключевые проверенные варианты: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monthly replay baseline - прогноз по похожему окну прошлого месяца;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daily replay - несколько последних дневных окон для учёта коротких изменений спроса;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weekly replay - недельные лаги для сезонности по дням недели и часам;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geometric blend - объединение monthly/daily/weekly компонент в лог-пространстве;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target-wise diagnostics - отдельный подбор компонент для 1+, 2+ и 3+ как проверка чувствительности таргетов;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градиентный бустинг на агрегированных признаках пользователей, кампании и истории;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бустинг с replay/decomposition features как сильный ML-baseline;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нейросетевая multi-task постановка с общим представлением и отдельными головами для трёх таргетов.</w:t>
      </w:r>
    </w:p>
    <w:p>
      <w:pPr>
        <w:spacing w:before="160" w:after="80"/>
      </w:pPr>
      <w:r>
        <w:rPr>
          <w:rFonts w:ascii="Arial" w:hAnsi="Arial"/>
          <w:b/>
          <w:i w:val="0"/>
          <w:color w:val="1E1E1E"/>
          <w:sz w:val="26"/>
        </w:rPr>
        <w:t>Эксперименты с replay-декомпозицией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Этап</w:t>
            </w:r>
          </w:p>
        </w:tc>
        <w:tc>
          <w:tcPr>
            <w:tcW w:type="dxa" w:w="2891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Проверка</w:t>
            </w:r>
          </w:p>
        </w:tc>
        <w:tc>
          <w:tcPr>
            <w:tcW w:type="dxa" w:w="209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Метрика отбора</w:t>
            </w:r>
          </w:p>
        </w:tc>
        <w:tc>
          <w:tcPr>
            <w:tcW w:type="dxa" w:w="130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Final holdout</w:t>
            </w:r>
          </w:p>
        </w:tc>
        <w:tc>
          <w:tcPr>
            <w:tcW w:type="dxa" w:w="2835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Вывод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Monthly replay baseline.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11.77% temporal; 11.55% с rolling calibration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11.70%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Честный baseline, но плохо ловит краткосрочные изменения инвентаря.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Daily replay: несколько последних дневных окон.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9.53% purged OOF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не финальная модель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Улучшает baseline за счёт актуального спроса и свежей активности.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3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Weekly replay: похожие дни недели и часы.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9.87% purged OOF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не финальная модель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Добавляет недельную сезонность, но отдельно слабее blend.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Geometric blend monthly/daily/weekly.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9.46% purged OOF; 8.03% calibration; 8.17% pretest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9.54%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Финальная модель: лучшая устойчивость на закрытом temporal holdout.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5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Target-wise blend и past-median calibration.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9.43% purged OOF; target log-error diagnostics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не финальная модель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Полезно как диагностика, но финально выбран более простой устойчивый scalar blend.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i w:val="0"/>
          <w:color w:val="1E1E1E"/>
          <w:sz w:val="26"/>
        </w:rPr>
        <w:t>ML-baselines и проверка усложнения модели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Этап</w:t>
            </w:r>
          </w:p>
        </w:tc>
        <w:tc>
          <w:tcPr>
            <w:tcW w:type="dxa" w:w="2891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Проверка</w:t>
            </w:r>
          </w:p>
        </w:tc>
        <w:tc>
          <w:tcPr>
            <w:tcW w:type="dxa" w:w="209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Метрика отбора</w:t>
            </w:r>
          </w:p>
        </w:tc>
        <w:tc>
          <w:tcPr>
            <w:tcW w:type="dxa" w:w="130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Final holdout</w:t>
            </w:r>
          </w:p>
        </w:tc>
        <w:tc>
          <w:tcPr>
            <w:tcW w:type="dxa" w:w="2835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Вывод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6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Gradient boosting на user/history/campaign aggregates.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12.78% temporal для HGB; 16.33-27.67% в строгих вариантах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30.89%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Без replay-логики табличная модель плохо переносится во времени.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7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Boosting + replay/decomposition features.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6.61% calibration; 6.92% pretest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10.94%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Сильный pretest, но хуже final holdout: признак переобучения на режим валидации.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8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Multi-task MLP с общим представлением и головами для 1+, 2+ и 3+.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38.12% temporal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не финальная модель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Близко к современным статьям концептуально, но в текущих ограниченных логах нестабильно.</w:t>
            </w:r>
          </w:p>
        </w:tc>
      </w:tr>
    </w:tbl>
    <w:p>
      <w:pPr>
        <w:spacing w:after="120"/>
      </w:pP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Главный вывод из экспериментов: простая ML-модель на агрегатах не заменяет механистическую декомпозицию. Для этой постановки критично явно учитывать правило выигрыша CPM-аукциона, сессионность и temporal split. Поэтому финальная модель выбрана не только по минимальной промежуточной метрике, но и по устойчивости между calibration, pretest и locked final holdout.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i w:val="0"/>
          <w:color w:val="1E1E1E"/>
          <w:sz w:val="32"/>
        </w:rPr>
        <w:t>Метрика качества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Использовалась официальная метрика задачи - Smoothed Mean Log Accuracy Ratio. Она оценивает относительное расхождение между предсказанными и фактическими долями пользователей по трём таргетам.</w:t>
      </w:r>
    </w:p>
    <w:p>
      <w:pPr>
        <w:spacing w:before="80" w:after="160"/>
        <w:jc w:val="center"/>
      </w:pPr>
      <w:r>
        <w:rPr>
          <w:rFonts w:ascii="Cambria Math" w:hAnsi="Cambria Math"/>
          <w:b w:val="0"/>
          <w:color w:val="141414"/>
          <w:sz w:val="22"/>
        </w:rPr>
        <w:t>Score = 100% * ( exp( (1 / (3n)) * sum_{i=1..n} sum_{j=1..3} |log((Pred_{ij} + eps) / (Actual_{ij} + eps))| ) - 1 )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Здесь eps = 0.005. Сглаживание нужно, чтобы метрика была устойчивой при малых фактических долях. Чем ниже значение метрики, тем лучше качество прогноза.</w:t>
      </w:r>
    </w:p>
    <w:p>
      <w:pPr>
        <w:spacing w:before="240" w:after="120"/>
      </w:pPr>
      <w:r>
        <w:rPr>
          <w:rFonts w:ascii="Arial" w:hAnsi="Arial"/>
          <w:b/>
          <w:i w:val="0"/>
          <w:color w:val="1E1E1E"/>
          <w:sz w:val="32"/>
        </w:rPr>
        <w:t>Результаты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Итоговое сравнение проводилось на locked final holdout. Метрика минимизируется: чем ниже значение, тем точнее прогноз долей 1+, 2+ и 3+.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Модель</w:t>
            </w:r>
          </w:p>
        </w:tc>
        <w:tc>
          <w:tcPr>
            <w:tcW w:type="dxa" w:w="340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Что использует</w:t>
            </w:r>
          </w:p>
        </w:tc>
        <w:tc>
          <w:tcPr>
            <w:tcW w:type="dxa" w:w="1361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Final metric</w:t>
            </w:r>
          </w:p>
        </w:tc>
        <w:tc>
          <w:tcPr>
            <w:tcW w:type="dxa" w:w="2381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E1E1E"/>
                <w:sz w:val="18"/>
              </w:rPr>
              <w:t>Интерпретация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Monthly baseline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Исторический шаблон прошлого месяца.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11.70%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Честная нижняя планка качества для сезонного replay-подхода.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Boosting + replay features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190 агрегированных и replay-признаков; обучение на pretest.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10.94%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Сильный ML-baseline, но хуже переносится на финальный будущий период.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Static/history boosting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64 агрегированных признака без полноценной replay-декомпозиции.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30.89%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Показывает, что одних табличных агрегатов недостаточно.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Финальная декомпозиционная модель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CPM-аукцион, сессии, daily/weekly/monthly replay и геометрический blend.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9.54%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Лучший и наиболее устойчивый результат; улучшение monthly baseline примерно на 18%.</w:t>
            </w:r>
          </w:p>
        </w:tc>
      </w:tr>
    </w:tbl>
    <w:p>
      <w:pPr>
        <w:spacing w:after="120"/>
      </w:pP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Итоговая модель улучшила monthly baseline примерно на 18% относительно и примерно на 13% относительно лучшего boosting baseline. Важный практический вывод: в этой задаче качество даёт не усложнение модели само по себе, а правильная декомпозиция механизма показа рекламы.</w:t>
      </w:r>
    </w:p>
    <w:p>
      <w:pPr>
        <w:spacing w:before="240" w:after="120"/>
      </w:pPr>
      <w:r>
        <w:rPr>
          <w:rFonts w:ascii="Arial" w:hAnsi="Arial"/>
          <w:b/>
          <w:i w:val="0"/>
          <w:color w:val="1E1E1E"/>
          <w:sz w:val="32"/>
        </w:rPr>
        <w:t>Почему не использовалась предобученная модель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Использование внешней предобученной модели в данной постановке не является методологически обоснованным. В датасете отсутствуют тексты объявлений, изображения креативов, клики, конверсии, идентификаторы объявлений и полные auction logs. Поэтому невозможно корректно применить универсальную pretrained модель или воспроизвести модели из статей, обученные на закрытых логах рекламных платформ.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Вместо этого выбран интерпретируемый подход, основанный на механизме формирования показов: истории рекламного инвентаря, правилах CPM-аукциона и пользовательских сессиях.</w:t>
      </w:r>
    </w:p>
    <w:p>
      <w:pPr>
        <w:spacing w:before="240" w:after="120"/>
      </w:pPr>
      <w:r>
        <w:rPr>
          <w:rFonts w:ascii="Arial" w:hAnsi="Arial"/>
          <w:b/>
          <w:i w:val="0"/>
          <w:color w:val="1E1E1E"/>
          <w:sz w:val="32"/>
        </w:rPr>
        <w:t>Выводы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В работе построена воспроизводимая модель прогнозирования охвата и частоты рекламной кампании в аукционной системе. Модель явно учитывает механизм формирования показов и защищена от утечек из будущего.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Академический вклад работы состоит в адаптации идей campaign performance forecasting к задаче threshold reach forecasting при ограниченных аукционных логах. Практический результат - улучшение качества прогноза относительно исторического baseline и ML-baseline на строгой temporal validation.</w:t>
      </w:r>
    </w:p>
    <w:p>
      <w:pPr>
        <w:spacing w:before="240" w:after="120"/>
      </w:pPr>
      <w:r>
        <w:rPr>
          <w:rFonts w:ascii="Arial" w:hAnsi="Arial"/>
          <w:b/>
          <w:i w:val="0"/>
          <w:color w:val="1E1E1E"/>
          <w:sz w:val="32"/>
        </w:rPr>
        <w:t>Ограничения и перспективы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Основные ограничения связаны с неполнотой данных: отсутствуют проигравшие ставки, клики, конверсии, признаки креативов и идентификаторы объявлений. Поэтому прямое численное сравнение с современными статьями, такими как AdVance, невозможно; сравнение проводится концептуально по постановке задачи, данным и подходам.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1E1E1E"/>
          <w:sz w:val="24"/>
        </w:rPr>
        <w:t>Дальнейшее развитие работы может включать:</w:t>
      </w:r>
    </w:p>
    <w:p>
      <w:pPr>
        <w:pStyle w:val="ListNumber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добавление признаков объявлений, креативов, кликов и конверсий при наличии данных;</w:t>
      </w:r>
    </w:p>
    <w:p>
      <w:pPr>
        <w:pStyle w:val="ListNumber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проверку multi-task нейросетевой модели с общим представлением и отдельными головами для 1+, 2+ и 3+;</w:t>
      </w:r>
    </w:p>
    <w:p>
      <w:pPr>
        <w:pStyle w:val="ListNumber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отдельную калибровку вероятностей для каждого таргета;</w:t>
      </w:r>
    </w:p>
    <w:p>
      <w:pPr>
        <w:pStyle w:val="ListNumber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сравнение с моделями на полных auction logs при доступе к закрытым логам рекламной платформы.</w:t>
      </w:r>
    </w:p>
    <w:p>
      <w:pPr>
        <w:spacing w:before="240" w:after="120"/>
      </w:pPr>
      <w:r>
        <w:rPr>
          <w:rFonts w:ascii="Arial" w:hAnsi="Arial"/>
          <w:b/>
          <w:i w:val="0"/>
          <w:color w:val="1E1E1E"/>
          <w:sz w:val="32"/>
        </w:rPr>
        <w:t>Использованные источники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Wang et al. Know in AdVance: Linear-Complexity Forecasting of Ad Campaign Performance with Evolving User Interest, 2024. https://arxiv.org/abs/2405.10681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Gao, Qiao. Reach Measurement, Optimization and Frequency Capping in Online Advertising, 2025. https://arxiv.org/abs/2501.04882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AuctionNet: benchmarking and simulation approaches for advertising auctions, 2024. https://arxiv.org/abs/2412.10798</w:t>
      </w:r>
    </w:p>
    <w:p>
      <w:pPr>
        <w:pStyle w:val="ListBullet"/>
        <w:spacing w:after="60" w:line="252" w:lineRule="auto"/>
      </w:pPr>
      <w:r>
        <w:rPr>
          <w:rFonts w:ascii="Arial" w:hAnsi="Arial"/>
          <w:b w:val="0"/>
          <w:i w:val="0"/>
          <w:color w:val="1E1E1E"/>
          <w:sz w:val="24"/>
        </w:rPr>
        <w:t>Arrate et al. Large-scale analysis of user exposure to online advertising in Facebook, 2018. https://arxiv.org/abs/1811.10921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