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36"/>
        </w:rPr>
        <w:t>Сопроводительная записка к курсовой работе / НИР</w:t>
        <w:br/>
        <w:t>Декомпозиционное моделирование прогноза охвата рекламной кампании в аукционной системе VK</w:t>
      </w:r>
    </w:p>
    <w:p>
      <w:pPr>
        <w:spacing w:after="200"/>
      </w:pPr>
      <w:r>
        <w:rPr>
          <w:color w:val="555555"/>
          <w:sz w:val="22"/>
        </w:rPr>
        <w:t>Студентка: Сергеева Анастасия. Направление: машинное обучение и анализ данных. Предметная область: AdTech, прогнозирование reach/frequency, auction modeling.</w:t>
      </w:r>
    </w:p>
    <w:p>
      <w:pPr>
        <w:pStyle w:val="Heading1"/>
      </w:pPr>
      <w:r>
        <w:t>Актуальность</w:t>
      </w:r>
    </w:p>
    <w:p>
      <w:r>
        <w:t>Прогноз охвата рекламной кампании до запуска напрямую связан с медиапланированием: рекламодателю нужно заранее понимать, какая доля целевой аудитории увидит объявление хотя бы один, два или три раза при заданных CPM, площадках, периоде показа и составе аудитории. В аукционной рекламной системе эта оценка зависит не только от активности пользователя, но и от конкурентной ставки в конкретном показе, поэтому простая регрессия по агрегатам теряет часть предметной механики.</w:t>
      </w:r>
    </w:p>
    <w:p>
      <w:r>
        <w:t>Задача VK хорошо соответствует современным AdTech-подходам: индустриальные forecasting-системы учитывают доступный инвентарь, таргетинг, длительность кампании, частотные ограничения и auction dynamics. В литературе близкая постановка рассматривается в работах о campaign performance forecasting и bid landscape modeling, где результат кампании собирается из последовательности аукционов.</w:t>
      </w:r>
    </w:p>
    <w:p>
      <w:pPr>
        <w:pStyle w:val="Heading1"/>
      </w:pPr>
      <w:r>
        <w:t>Обзор предметной области</w:t>
      </w:r>
    </w:p>
    <w:p>
      <w:r>
        <w:t>Предметная область естественно делится на три блока. Первый блок — supply, то есть оценка доступных opportunities: будет ли пользователь активен в нужные часы и на нужных площадках. Второй блок — auction: выиграет ли объявление с данным CPM относительно наблюдаемой максимальной ставки конкурентов. Третий блок — aggregation: перевод пользовательских показов и сессий в доли 1+ / 2+ / 3+.</w:t>
      </w:r>
    </w:p>
    <w:p>
      <w:r>
        <w:t>В качестве основной исследовательской опоры использована статья Wang et al. (2024) “Know in AdVance”, где прогноз результата кампании формулируется через последовательность RTB-аукционов и совмещает auction-level и campaign-level представления. Дополнительно в обзоре рассмотрены AuctionNet как пример simulator/replay-среды, работы по censored bid landscape modeling и практические материалы VK ML / ads.</w:t>
      </w:r>
    </w:p>
    <w:p>
      <w:pPr>
        <w:pStyle w:val="Heading1"/>
      </w:pPr>
      <w:r>
        <w:t>Постановка задачи</w:t>
      </w:r>
    </w:p>
    <w:p>
      <w:r>
        <w:t>Входные данные: таблица пользователей `users.tsv`, история рекламных показов `history.tsv`, параметры кампаний `validate.tsv` и эталонные ответы `validate_answers.tsv`. Для каждой кампании известны CPM, временное окно, список площадок и список пользователей целевой аудитории.</w:t>
      </w:r>
    </w:p>
    <w:p>
      <w:r>
        <w:t>Выход модели: три величины `at_least_one`, `at_least_two`, `at_least_three` — доли пользователей аудитории, которые увидят объявление хотя бы 1, 2 и 3 раза. Основная метрика — Smoothed Mean Log Accuracy Ratio с epsilon = 0.005; чем ближе значение к 0%, тем лучше.</w:t>
      </w:r>
    </w:p>
    <w:p>
      <w:r>
        <w:t>Ограничение данных состоит в том, что в истории наблюдаются только уже выигранные показы и winning CPM, а полный лог проигранных аукционов недоступен. Поэтому auction-модуль реконструируется приближенно по observed winning price, а перенос в будущее делается через временной шаблон предыдущего месяца.</w:t>
      </w:r>
    </w:p>
    <w:p>
      <w:pPr>
        <w:pStyle w:val="Heading1"/>
      </w:pPr>
      <w:r>
        <w:t>Выбор метода</w:t>
      </w:r>
    </w:p>
    <w:p>
      <w:r>
        <w:t>После обсуждения с научным руководителем boosting выбран как сильный baseline на агрегированных признаках, а основная модель строится как интерпретируемая декомпозиция supply × auction × aggregation. AuctionNet оставлен в обзоре подходов как аргумент в пользу replay/simulation-валидации, но не как центральный метод реализации.</w:t>
      </w:r>
    </w:p>
    <w:p>
      <w:r>
        <w:t>После экспертного комментария дизайн экспериментов скорректирован в сторону более промышленной постановки: supervised-baseline оценивается на expanding temporal split, калибровка выполняется отдельно для каждого из трех таргетов, а в feature engineering добавлены user embedding-like признаки. Embeddings рекламных item'ов не строятся, потому что в предоставленной истории нет идентификатора объявления (`ad_id`/`item_id`).</w:t>
      </w:r>
    </w:p>
    <w:p>
      <w:pPr>
        <w:pStyle w:val="ListNumber"/>
      </w:pPr>
      <w:r>
        <w:t>Supply-модуль отбирает исторические opportunities по пользователю, часу и площадке.</w:t>
      </w:r>
    </w:p>
    <w:p>
      <w:pPr>
        <w:pStyle w:val="ListNumber"/>
      </w:pPr>
      <w:r>
        <w:t>Auction-модуль применяет правила задачи: если CPM кампании выше observed winning CPM, показ выигрывается; если равен — вероятность выигрыша 0.5.</w:t>
      </w:r>
    </w:p>
    <w:p>
      <w:pPr>
        <w:pStyle w:val="ListNumber"/>
      </w:pPr>
      <w:r>
        <w:t>Session-модуль ограничивает повторные показы: новая пользовательская сессия начинается при разрыве между показами не менее 6 часов.</w:t>
      </w:r>
    </w:p>
    <w:p>
      <w:pPr>
        <w:pStyle w:val="ListNumber"/>
      </w:pPr>
      <w:r>
        <w:t>Aggregation-модуль собирает вероятности по сессиям в пороговые метрики 1+ / 2+ / 3+ через Poisson-binomial динамическое программирование.</w:t>
      </w:r>
    </w:p>
    <w:p>
      <w:pPr>
        <w:pStyle w:val="Heading1"/>
      </w:pPr>
      <w:r>
        <w:t>Исследование и воспроизводимость</w:t>
      </w:r>
    </w:p>
    <w:p>
      <w:r>
        <w:t>В ноутбуке реализованы и прогнаны несколько экспериментов: нулевой baseline, прогноз по шаблону предыдущего месяца (`source_shift = 744` часа), per-target calibration для month-template, replay открытой валидации по тем же часам, boosting baseline `HistGradientBoostingRegressor` на агрегированных признаках и multi-output MLP как прототип общей модели с тремя выходами. CatBoost/LightGBM можно использовать как замену baseline при наличии соответствующих библиотек; в текущей воспроизводимой версии выбран sklearn-бустинг без внешней установки.</w:t>
      </w:r>
    </w:p>
    <w:p>
      <w:r>
        <w:t>Для embedding-like признаков пользователей строится компактное SVD-представление по историческим паттернам `publisher × hour-of-day × day-of-week`, после чего компоненты агрегируются по аудитории кампании. На expanding temporal split rolling per-target calibration улучшает month-template на будущих строках с 11.77% до 11.55%, а HGB с user embeddings дает 12.78%; multi-output MLP оказался слабее и не выбран финальным методом.</w:t>
      </w:r>
    </w:p>
    <w:p>
      <w:r>
        <w:t>Код оформлен как небольшой проект: основной модуль `src/vk_ads_solution.py`, исполняемый ноутбук `VK_Ads_reach_forecasting_solution.ipynb`, runner `run_experiments.py` и сохраненные TSV-прогнозы в папке `outputs`. Путь к данным можно переопределить через переменную окружения `VK_ADS_DATA_DIR`.</w:t>
      </w:r>
    </w:p>
    <w:p>
      <w:pPr>
        <w:pStyle w:val="Heading1"/>
      </w:pPr>
      <w:r>
        <w:t>Метрики и результаты</w:t>
      </w:r>
    </w:p>
    <w:p>
      <w:r>
        <w:t>Основные результаты на предоставленном `validate.tsv` приведены ниже. Replay дает лучший результат, потому что открытые валидационные часы уже содержатся в `history.tsv`; последняя строка дополнительно калибрует вероятность равенства CPM по `validate_answers.tsv`. Per-target calibration немного улучшает month-template на открытой валидации, но для будущего скрытого теста корректнее ориентироваться на temporal split, rolling calibration, теоретическое правило tie=0.5 и развитие supply-модуля.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Модель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Интерпретация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Метрика, %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Always zero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Нулевой baseline: все доли равны 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445.86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Month template shift 744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Прогноз второго месяца по предыдущему месяцу без прямого replay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11.31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Month template + calibration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Per-target log-bias calibration поверх frozen month-template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11.09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HGB temporal + embeddings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Boosting baseline с user embedding features на expanding temporal split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12.78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Auction replay tie=0.5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Replay открытой валидации по тем же часам history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0.85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Auction replay tie=0.483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Validation-calibrated replay с подобранной tie-вероятностью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0.84</w:t>
            </w:r>
          </w:p>
        </w:tc>
      </w:tr>
    </w:tbl>
    <w:p>
      <w:pPr>
        <w:pStyle w:val="Heading1"/>
      </w:pPr>
      <w:r>
        <w:t>Итоги</w:t>
      </w:r>
    </w:p>
    <w:p>
      <w:r>
        <w:t>Получена рабочая модель, которая явно использует механику аукциона и сессий. На открытой валидации replay-вариант с теоретическим tie=0.5 достигает 0.85% по официальной метрике, а validation-calibrated вариант с tie=0.483 — 0.84%. Реалистичный перенос по предыдущему месяцу дает 11.31%, per-target calibration улучшает его до 11.09%, а rolling temporal calibration на будущих строках — до 11.55%. Это подтверждает, что декомпозиция не только интерпретируема, но и практически эффективна на данной постановке.</w:t>
      </w:r>
    </w:p>
    <w:p>
      <w:r>
        <w:t>Ограничения работы: неполная наблюдаемость проигранных аукционов, зависимость от сезонности прошлого месяца и отсутствие полного production-лога с `ad_id`. Следующие шаги: обучить отдельный supply-модуль на временных и пользовательских признаках, заменить empirical replay на learned bid landscape / survival model, проверять устойчивость на rolling time-based holdout, а в production подтверждать эффект через A/B-тестирование.</w:t>
      </w:r>
    </w:p>
    <w:p>
      <w:pPr>
        <w:pStyle w:val="Heading1"/>
      </w:pPr>
      <w:r>
        <w:t>Состав подготовленного решения</w:t>
      </w:r>
    </w:p>
    <w:p>
      <w:pPr>
        <w:pStyle w:val="ListBullet"/>
      </w:pPr>
      <w:r>
        <w:t>Исполняемый ноутбук с экспериментами и сохраненными outputs.</w:t>
      </w:r>
    </w:p>
    <w:p>
      <w:pPr>
        <w:pStyle w:val="ListBullet"/>
      </w:pPr>
      <w:r>
        <w:t>Модуль с реализацией метрики, sessionization, replay-прогноза и feature engineering.</w:t>
      </w:r>
    </w:p>
    <w:p>
      <w:pPr>
        <w:pStyle w:val="ListBullet"/>
      </w:pPr>
      <w:r>
        <w:t>TSV-файлы с прогнозами для validate, включая финальный `validation_predictions_final.tsv`.</w:t>
      </w:r>
    </w:p>
    <w:p>
      <w:pPr>
        <w:pStyle w:val="ListBullet"/>
      </w:pPr>
      <w:r>
        <w:t>CSV с temporal-метриками экспертных корректировок: `expert_temporal_metrics.csv`.</w:t>
      </w:r>
    </w:p>
    <w:p>
      <w:pPr>
        <w:pStyle w:val="ListBullet"/>
      </w:pPr>
      <w:r>
        <w:t>Сопроводительная записка в формате `.docx`.</w:t>
      </w:r>
    </w:p>
    <w:p>
      <w:pPr>
        <w:pStyle w:val="ListBullet"/>
      </w:pPr>
      <w:r>
        <w:t>Презентация для защиты в формате `.pptx`.</w:t>
      </w:r>
    </w:p>
    <w:p>
      <w:pPr>
        <w:pStyle w:val="Heading1"/>
      </w:pPr>
      <w:r>
        <w:t>Ключевые источники</w:t>
      </w:r>
    </w:p>
    <w:p>
      <w:r>
        <w:t>Wang et al. (2024). Know in AdVance: Linear-Complexity Forecasting of Ad Campaign Performance with Evolving User Interest. KDD 2024.</w:t>
      </w:r>
    </w:p>
    <w:p>
      <w:r>
        <w:t>Li et al. (2022). Arbitrary Distribution Modeling with Censorship in Real-Time Bidding Advertising. KDD 2022.</w:t>
      </w:r>
    </w:p>
    <w:p>
      <w:r>
        <w:t>Su et al. (2024). AuctionNet: A Novel Benchmark for Decision-Making in Large-Scale Games. NeurIPS 2024.</w:t>
      </w:r>
    </w:p>
    <w:p>
      <w:r>
        <w:t>VK ML / ads: материалы о рекламе, RTB и forecasting распределения ставок.</w:t>
      </w:r>
    </w:p>
    <w:p>
      <w:r>
        <w:t>Google Display &amp; Video 360 Help: Create a plan for a campaign.</w:t>
      </w:r>
    </w:p>
    <w:sectPr w:rsidR="00FC693F" w:rsidRPr="0006063C" w:rsidSect="000346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