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ibtex-test"/>
    <w:p>
      <w:pPr>
        <w:pStyle w:val="Heading1"/>
      </w:pPr>
      <w:r>
        <w:t xml:space="preserve">BibTex Test</w:t>
      </w:r>
    </w:p>
    <w:bookmarkEnd w:id="21"/>
    <w:p>
      <w:r>
        <w:t xml:space="preserve">(Aristoteles 1958)</w:t>
      </w:r>
    </w:p>
    <w:bookmarkStart w:id="22" w:name="sources"/>
    <w:p>
      <w:pPr>
        <w:pStyle w:val="Heading1"/>
      </w:pPr>
      <w:r>
        <w:t xml:space="preserve">Sources</w:t>
      </w:r>
    </w:p>
    <w:bookmarkEnd w:id="22"/>
    <w:p>
      <w:r>
        <w:t xml:space="preserve">Aristoteles. 1958.</w:t>
      </w:r>
      <w:r>
        <w:t xml:space="preserve"> </w:t>
      </w:r>
      <w:r>
        <w:rPr>
          <w:i/>
        </w:rPr>
        <w:t xml:space="preserve">Poetik</w:t>
      </w:r>
      <w:r>
        <w:t xml:space="preserve">. Hans Reitzels Forlag.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b0bd7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