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5A9D" w14:textId="7A538DEC" w:rsidR="0022528D" w:rsidRDefault="00000000">
      <w:pPr>
        <w:rPr>
          <w:rFonts w:hint="eastAsia"/>
        </w:rPr>
      </w:pPr>
      <w:r>
        <w:rPr>
          <w:b/>
          <w:color w:val="0279EE"/>
          <w:sz w:val="32"/>
        </w:rPr>
        <w:t>Pre-Lab 1</w:t>
      </w:r>
      <w:r w:rsidR="00F25CBF">
        <w:rPr>
          <w:b/>
          <w:color w:val="0279EE"/>
          <w:sz w:val="32"/>
        </w:rPr>
        <w:t xml:space="preserve"> – </w:t>
      </w:r>
      <w:r>
        <w:rPr>
          <w:b/>
          <w:color w:val="0279EE"/>
          <w:sz w:val="32"/>
        </w:rPr>
        <w:t>Getting Ready for Variant Interpretation</w:t>
      </w:r>
    </w:p>
    <w:p w14:paraId="144BF4D5" w14:textId="7278889F" w:rsidR="0022528D" w:rsidRDefault="00000000">
      <w:pPr>
        <w:rPr>
          <w:rFonts w:hint="eastAsia"/>
        </w:rPr>
      </w:pPr>
      <w:r>
        <w:rPr>
          <w:i/>
          <w:sz w:val="20"/>
        </w:rPr>
        <w:t>BIO 462/594 Molecular Biology | Comp Lab 1 is Tuesday, September 29, 11:00 AM (on the OSC supercomputer via browser). This prep takes 15–20 minutes. No coding, no OSC login, nothing to install.</w:t>
      </w:r>
    </w:p>
    <w:p w14:paraId="40FC40E8" w14:textId="77777777" w:rsidR="0022528D" w:rsidRDefault="00000000">
      <w:pPr>
        <w:rPr>
          <w:rFonts w:hint="eastAsia"/>
        </w:rPr>
      </w:pPr>
      <w:r>
        <w:rPr>
          <w:b/>
          <w:color w:val="0279EE"/>
          <w:sz w:val="25"/>
        </w:rPr>
        <w:t>The story</w:t>
      </w:r>
    </w:p>
    <w:p w14:paraId="2852E098" w14:textId="0BCA2CD5" w:rsidR="0022528D" w:rsidRDefault="00000000">
      <w:pPr>
        <w:rPr>
          <w:rFonts w:hint="eastAsia"/>
        </w:rPr>
      </w:pPr>
      <w:r>
        <w:t xml:space="preserve">Sequencing a human genome is now cheap and fast. The hard part is not reading the sequence  -  it is deciding what the thousands of differences mean. On Tuesday you will use AlphaMissense, a deep-learning model from Google DeepMind (Science, 2023) that has scored every possible missense substitution in the human proteome. You will compare its scores against ClinVar, the public archive of what clinical laboratories </w:t>
      </w:r>
      <w:proofErr w:type="gramStart"/>
      <w:r>
        <w:t>actually assert</w:t>
      </w:r>
      <w:proofErr w:type="gramEnd"/>
      <w:r w:rsidR="00F25CBF">
        <w:t xml:space="preserve"> (with evidence) </w:t>
      </w:r>
      <w:r>
        <w:t xml:space="preserve">about variants they have seen in patients. Then you will apply the </w:t>
      </w:r>
      <w:r w:rsidR="00F25CBF">
        <w:t>American College of Medical Genetics and Genomics (</w:t>
      </w:r>
      <w:r>
        <w:t>ACMG</w:t>
      </w:r>
      <w:r w:rsidR="00F25CBF">
        <w:t>)</w:t>
      </w:r>
      <w:r>
        <w:t xml:space="preserve"> rules that clinical geneticists use to turn evidence into a classification.</w:t>
      </w:r>
    </w:p>
    <w:p w14:paraId="0E7EF8AB" w14:textId="7161DD86" w:rsidR="0022528D" w:rsidRDefault="00F25CBF">
      <w:pPr>
        <w:rPr>
          <w:rFonts w:hint="eastAsia"/>
        </w:rPr>
      </w:pPr>
      <w:r>
        <w:t xml:space="preserve">The </w:t>
      </w:r>
      <w:r w:rsidR="00000000">
        <w:t>three genes</w:t>
      </w:r>
      <w:r>
        <w:t xml:space="preserve"> we will investigate – </w:t>
      </w:r>
      <w:r w:rsidR="00000000">
        <w:t>TP53, BRCA1, and RPS19</w:t>
      </w:r>
      <w:r>
        <w:t xml:space="preserve"> – </w:t>
      </w:r>
      <w:r w:rsidR="00000000">
        <w:t xml:space="preserve">all cause inherited disease, but in </w:t>
      </w:r>
      <w:r>
        <w:t>significantly</w:t>
      </w:r>
      <w:r w:rsidR="00000000">
        <w:t xml:space="preserve"> different ways. The same tool and the same rules produce three completely different variant landscapes. Understanding why is the point of the lab.</w:t>
      </w:r>
    </w:p>
    <w:p w14:paraId="38167C9B" w14:textId="1FDA856D" w:rsidR="0022528D" w:rsidRDefault="00000000">
      <w:pPr>
        <w:rPr>
          <w:rFonts w:hint="eastAsia"/>
        </w:rPr>
      </w:pPr>
      <w:r>
        <w:rPr>
          <w:b/>
          <w:color w:val="0279EE"/>
          <w:sz w:val="25"/>
        </w:rPr>
        <w:t>Key terms (2-minute glossary</w:t>
      </w:r>
      <w:r w:rsidR="00F25CBF">
        <w:rPr>
          <w:b/>
          <w:color w:val="0279EE"/>
          <w:sz w:val="25"/>
        </w:rPr>
        <w:t xml:space="preserve"> – learn this jargon so it will be easy in class</w:t>
      </w:r>
      <w:r>
        <w:rPr>
          <w:b/>
          <w:color w:val="0279EE"/>
          <w:sz w:val="25"/>
        </w:rPr>
        <w:t>)</w:t>
      </w:r>
    </w:p>
    <w:tbl>
      <w:tblPr>
        <w:tblStyle w:val="LightGrid-Accent1"/>
        <w:tblW w:w="0" w:type="auto"/>
        <w:tblLook w:val="04A0" w:firstRow="1" w:lastRow="0" w:firstColumn="1" w:lastColumn="0" w:noHBand="0" w:noVBand="1"/>
      </w:tblPr>
      <w:tblGrid>
        <w:gridCol w:w="4320"/>
        <w:gridCol w:w="4320"/>
      </w:tblGrid>
      <w:tr w:rsidR="0022528D" w14:paraId="3A72FB9E" w14:textId="77777777" w:rsidTr="002252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720E5" w14:textId="77777777" w:rsidR="0022528D" w:rsidRDefault="00000000">
            <w:pPr>
              <w:rPr>
                <w:rFonts w:hint="eastAsia"/>
              </w:rPr>
            </w:pPr>
            <w:r>
              <w:t>Term</w:t>
            </w:r>
          </w:p>
        </w:tc>
        <w:tc>
          <w:tcPr>
            <w:tcW w:w="4320" w:type="dxa"/>
          </w:tcPr>
          <w:p w14:paraId="7975E22E" w14:textId="77777777" w:rsidR="0022528D" w:rsidRDefault="00000000">
            <w:pPr>
              <w:cnfStyle w:val="100000000000" w:firstRow="1" w:lastRow="0" w:firstColumn="0" w:lastColumn="0" w:oddVBand="0" w:evenVBand="0" w:oddHBand="0" w:evenHBand="0" w:firstRowFirstColumn="0" w:firstRowLastColumn="0" w:lastRowFirstColumn="0" w:lastRowLastColumn="0"/>
              <w:rPr>
                <w:rFonts w:hint="eastAsia"/>
              </w:rPr>
            </w:pPr>
            <w:r>
              <w:t>What it means</w:t>
            </w:r>
          </w:p>
        </w:tc>
      </w:tr>
      <w:tr w:rsidR="0022528D" w14:paraId="4199A724" w14:textId="77777777" w:rsidTr="00225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2BAE71" w14:textId="77777777" w:rsidR="0022528D" w:rsidRDefault="00000000">
            <w:pPr>
              <w:rPr>
                <w:rFonts w:hint="eastAsia"/>
              </w:rPr>
            </w:pPr>
            <w:r>
              <w:t>Missense variant</w:t>
            </w:r>
          </w:p>
        </w:tc>
        <w:tc>
          <w:tcPr>
            <w:tcW w:w="4320" w:type="dxa"/>
          </w:tcPr>
          <w:p w14:paraId="6ED02148" w14:textId="77777777" w:rsidR="0022528D" w:rsidRDefault="00000000">
            <w:pPr>
              <w:cnfStyle w:val="000000100000" w:firstRow="0" w:lastRow="0" w:firstColumn="0" w:lastColumn="0" w:oddVBand="0" w:evenVBand="0" w:oddHBand="1" w:evenHBand="0" w:firstRowFirstColumn="0" w:firstRowLastColumn="0" w:lastRowFirstColumn="0" w:lastRowLastColumn="0"/>
              <w:rPr>
                <w:rFonts w:hint="eastAsia"/>
              </w:rPr>
            </w:pPr>
            <w:r>
              <w:t>A single DNA base change that swaps one amino acid in a protein, e.g. R175H = arginine 175 becomes histidine.</w:t>
            </w:r>
          </w:p>
        </w:tc>
      </w:tr>
      <w:tr w:rsidR="0022528D" w14:paraId="46D9B319" w14:textId="77777777" w:rsidTr="002252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DDDC7" w14:textId="77777777" w:rsidR="0022528D" w:rsidRDefault="00000000">
            <w:pPr>
              <w:rPr>
                <w:rFonts w:hint="eastAsia"/>
              </w:rPr>
            </w:pPr>
            <w:r>
              <w:t>Pathogenicity score</w:t>
            </w:r>
          </w:p>
        </w:tc>
        <w:tc>
          <w:tcPr>
            <w:tcW w:w="4320" w:type="dxa"/>
          </w:tcPr>
          <w:p w14:paraId="2F2202FF" w14:textId="77777777" w:rsidR="0022528D" w:rsidRDefault="00000000">
            <w:pPr>
              <w:cnfStyle w:val="000000010000" w:firstRow="0" w:lastRow="0" w:firstColumn="0" w:lastColumn="0" w:oddVBand="0" w:evenVBand="0" w:oddHBand="0" w:evenHBand="1" w:firstRowFirstColumn="0" w:firstRowLastColumn="0" w:lastRowFirstColumn="0" w:lastRowLastColumn="0"/>
              <w:rPr>
                <w:rFonts w:hint="eastAsia"/>
              </w:rPr>
            </w:pPr>
            <w:r>
              <w:t>A model's number from 0 to 1 for how likely a variant is to be damaging. 0.98 is not a probability of disease  -  it is a ranking against all other variants.</w:t>
            </w:r>
          </w:p>
        </w:tc>
      </w:tr>
      <w:tr w:rsidR="0022528D" w14:paraId="7429C0B8" w14:textId="77777777" w:rsidTr="00225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B8A458" w14:textId="77777777" w:rsidR="0022528D" w:rsidRDefault="00000000">
            <w:pPr>
              <w:rPr>
                <w:rFonts w:hint="eastAsia"/>
              </w:rPr>
            </w:pPr>
            <w:r>
              <w:t>ClinVar</w:t>
            </w:r>
          </w:p>
        </w:tc>
        <w:tc>
          <w:tcPr>
            <w:tcW w:w="4320" w:type="dxa"/>
          </w:tcPr>
          <w:p w14:paraId="4E858AC7" w14:textId="77777777" w:rsidR="0022528D" w:rsidRDefault="00000000">
            <w:pPr>
              <w:cnfStyle w:val="000000100000" w:firstRow="0" w:lastRow="0" w:firstColumn="0" w:lastColumn="0" w:oddVBand="0" w:evenVBand="0" w:oddHBand="1" w:evenHBand="0" w:firstRowFirstColumn="0" w:firstRowLastColumn="0" w:lastRowFirstColumn="0" w:lastRowLastColumn="0"/>
              <w:rPr>
                <w:rFonts w:hint="eastAsia"/>
              </w:rPr>
            </w:pPr>
            <w:r>
              <w:t>NIH archive where labs submit variant interpretations: pathogenic, benign, VUS, or conflicting.</w:t>
            </w:r>
          </w:p>
        </w:tc>
      </w:tr>
      <w:tr w:rsidR="0022528D" w14:paraId="73B59DD7" w14:textId="77777777" w:rsidTr="002252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3372D" w14:textId="77777777" w:rsidR="0022528D" w:rsidRDefault="00000000">
            <w:pPr>
              <w:rPr>
                <w:rFonts w:hint="eastAsia"/>
              </w:rPr>
            </w:pPr>
            <w:r>
              <w:t>VUS</w:t>
            </w:r>
          </w:p>
        </w:tc>
        <w:tc>
          <w:tcPr>
            <w:tcW w:w="4320" w:type="dxa"/>
          </w:tcPr>
          <w:p w14:paraId="41F87537" w14:textId="77777777" w:rsidR="0022528D" w:rsidRDefault="00000000">
            <w:pPr>
              <w:cnfStyle w:val="000000010000" w:firstRow="0" w:lastRow="0" w:firstColumn="0" w:lastColumn="0" w:oddVBand="0" w:evenVBand="0" w:oddHBand="0" w:evenHBand="1" w:firstRowFirstColumn="0" w:firstRowLastColumn="0" w:lastRowFirstColumn="0" w:lastRowLastColumn="0"/>
              <w:rPr>
                <w:rFonts w:hint="eastAsia"/>
              </w:rPr>
            </w:pPr>
            <w:r>
              <w:t>Variant of Uncertain Significance  -  the evidence is not good enough to call it either way. Most rare missense variants are VUS.</w:t>
            </w:r>
          </w:p>
        </w:tc>
      </w:tr>
      <w:tr w:rsidR="0022528D" w14:paraId="0A474E4E" w14:textId="77777777" w:rsidTr="00225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7524C3" w14:textId="77777777" w:rsidR="0022528D" w:rsidRDefault="00000000">
            <w:pPr>
              <w:rPr>
                <w:rFonts w:hint="eastAsia"/>
              </w:rPr>
            </w:pPr>
            <w:r>
              <w:t>Review status</w:t>
            </w:r>
          </w:p>
        </w:tc>
        <w:tc>
          <w:tcPr>
            <w:tcW w:w="4320" w:type="dxa"/>
          </w:tcPr>
          <w:p w14:paraId="3E1016CB" w14:textId="77777777" w:rsidR="0022528D" w:rsidRDefault="00000000">
            <w:pPr>
              <w:cnfStyle w:val="000000100000" w:firstRow="0" w:lastRow="0" w:firstColumn="0" w:lastColumn="0" w:oddVBand="0" w:evenVBand="0" w:oddHBand="1" w:evenHBand="0" w:firstRowFirstColumn="0" w:firstRowLastColumn="0" w:lastRowFirstColumn="0" w:lastRowLastColumn="0"/>
              <w:rPr>
                <w:rFonts w:hint="eastAsia"/>
              </w:rPr>
            </w:pPr>
            <w:r>
              <w:t>How well-supported a ClinVar assertion is. "Reviewed by expert panel" is the gold standard; "single submitter" is one lab's opinion.</w:t>
            </w:r>
          </w:p>
        </w:tc>
      </w:tr>
      <w:tr w:rsidR="0022528D" w14:paraId="4AA18A86" w14:textId="77777777" w:rsidTr="002252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93B0AB" w14:textId="77777777" w:rsidR="0022528D" w:rsidRDefault="00000000">
            <w:pPr>
              <w:rPr>
                <w:rFonts w:hint="eastAsia"/>
              </w:rPr>
            </w:pPr>
            <w:r>
              <w:t>ACMG criteria</w:t>
            </w:r>
          </w:p>
        </w:tc>
        <w:tc>
          <w:tcPr>
            <w:tcW w:w="4320" w:type="dxa"/>
          </w:tcPr>
          <w:p w14:paraId="78ED8202" w14:textId="77777777" w:rsidR="0022528D" w:rsidRDefault="00000000">
            <w:pPr>
              <w:cnfStyle w:val="000000010000" w:firstRow="0" w:lastRow="0" w:firstColumn="0" w:lastColumn="0" w:oddVBand="0" w:evenVBand="0" w:oddHBand="0" w:evenHBand="1" w:firstRowFirstColumn="0" w:firstRowLastColumn="0" w:lastRowFirstColumn="0" w:lastRowLastColumn="0"/>
              <w:rPr>
                <w:rFonts w:hint="eastAsia"/>
              </w:rPr>
            </w:pPr>
            <w:r>
              <w:t>The 2015 American College of Medical Genetics rulebook: letter codes (PS3, PP3, BP4...) for each piece of evidence, combined into a final class.</w:t>
            </w:r>
          </w:p>
        </w:tc>
      </w:tr>
    </w:tbl>
    <w:p w14:paraId="5567C011" w14:textId="77777777" w:rsidR="00F25CBF" w:rsidRDefault="00F25CBF">
      <w:pPr>
        <w:rPr>
          <w:b/>
          <w:color w:val="0279EE"/>
          <w:sz w:val="25"/>
        </w:rPr>
      </w:pPr>
    </w:p>
    <w:p w14:paraId="1F5B6080" w14:textId="77777777" w:rsidR="00F25CBF" w:rsidRDefault="00F25CBF">
      <w:pPr>
        <w:rPr>
          <w:b/>
          <w:color w:val="0279EE"/>
          <w:sz w:val="25"/>
        </w:rPr>
      </w:pPr>
    </w:p>
    <w:p w14:paraId="324C2400" w14:textId="084021BF" w:rsidR="0022528D" w:rsidRDefault="00000000">
      <w:pPr>
        <w:rPr>
          <w:rFonts w:hint="eastAsia"/>
        </w:rPr>
      </w:pPr>
      <w:r>
        <w:rPr>
          <w:b/>
          <w:color w:val="0279EE"/>
          <w:sz w:val="25"/>
        </w:rPr>
        <w:lastRenderedPageBreak/>
        <w:t>Self-</w:t>
      </w:r>
      <w:proofErr w:type="gramStart"/>
      <w:r>
        <w:rPr>
          <w:b/>
          <w:color w:val="0279EE"/>
          <w:sz w:val="25"/>
        </w:rPr>
        <w:t>check  -</w:t>
      </w:r>
      <w:proofErr w:type="gramEnd"/>
      <w:r>
        <w:rPr>
          <w:b/>
          <w:color w:val="0279EE"/>
          <w:sz w:val="25"/>
        </w:rPr>
        <w:t xml:space="preserve">  try these before class (answers below)</w:t>
      </w:r>
    </w:p>
    <w:p w14:paraId="2E0DEE5D" w14:textId="13DB719F" w:rsidR="0022528D" w:rsidRDefault="00000000">
      <w:pPr>
        <w:pStyle w:val="ListNumber"/>
        <w:rPr>
          <w:rFonts w:hint="eastAsia"/>
        </w:rPr>
      </w:pPr>
      <w:r>
        <w:t xml:space="preserve">A missense variant changes one amino acid. </w:t>
      </w:r>
      <w:r w:rsidR="00F25CBF">
        <w:t>How could</w:t>
      </w:r>
      <w:r>
        <w:t xml:space="preserve"> one amino acid swap disable a 393-aa protein like TP53?</w:t>
      </w:r>
    </w:p>
    <w:p w14:paraId="677E41DF" w14:textId="77777777" w:rsidR="0022528D" w:rsidRDefault="00000000">
      <w:pPr>
        <w:pStyle w:val="ListNumber"/>
        <w:rPr>
          <w:rFonts w:hint="eastAsia"/>
        </w:rPr>
      </w:pPr>
      <w:r>
        <w:t>AlphaMissense gives TP53 variant R175H a score of 0.99. Does that mean a patient carrying it has a 99% chance of cancer?</w:t>
      </w:r>
    </w:p>
    <w:p w14:paraId="71B1EAEA" w14:textId="77777777" w:rsidR="0022528D" w:rsidRDefault="00000000">
      <w:pPr>
        <w:pStyle w:val="ListNumber"/>
        <w:rPr>
          <w:rFonts w:hint="eastAsia"/>
        </w:rPr>
      </w:pPr>
      <w:r>
        <w:t>Most rare missense variants in ClinVar are VUS. Give one reason a lab cannot simply call them benign.</w:t>
      </w:r>
    </w:p>
    <w:p w14:paraId="518E0A38" w14:textId="77777777" w:rsidR="0022528D" w:rsidRDefault="00000000">
      <w:pPr>
        <w:pStyle w:val="ListNumber"/>
        <w:rPr>
          <w:rFonts w:hint="eastAsia"/>
        </w:rPr>
      </w:pPr>
      <w:r>
        <w:t>Why does "reviewed by expert panel" carry more weight than "criteria provided, single submitter"?</w:t>
      </w:r>
    </w:p>
    <w:p w14:paraId="512ADFE2" w14:textId="77777777" w:rsidR="0022528D" w:rsidRDefault="00000000">
      <w:pPr>
        <w:pStyle w:val="ListNumber"/>
        <w:rPr>
          <w:rFonts w:hint="eastAsia"/>
        </w:rPr>
      </w:pPr>
      <w:r>
        <w:t>RPS19 disease (Diamond-Blackfan anemia) is recessive. What does that predict about the kind of variant that causes it?</w:t>
      </w:r>
    </w:p>
    <w:p w14:paraId="74DBBD43" w14:textId="77777777" w:rsidR="0022528D" w:rsidRDefault="00000000">
      <w:pPr>
        <w:pStyle w:val="ListNumber"/>
        <w:rPr>
          <w:rFonts w:hint="eastAsia"/>
        </w:rPr>
      </w:pPr>
      <w:r>
        <w:t>TP53 cancers often lose the whole chromosome arm containing the remaining normal copy. What is that mechanism called, and why does it matter for a tumor suppressor?</w:t>
      </w:r>
    </w:p>
    <w:p w14:paraId="2CF89D37" w14:textId="77777777" w:rsidR="0022528D" w:rsidRDefault="00000000">
      <w:pPr>
        <w:rPr>
          <w:rFonts w:hint="eastAsia"/>
        </w:rPr>
      </w:pPr>
      <w:r>
        <w:rPr>
          <w:b/>
          <w:sz w:val="22"/>
        </w:rPr>
        <w:t>Answers</w:t>
      </w:r>
    </w:p>
    <w:p w14:paraId="58B413C8" w14:textId="77777777" w:rsidR="0022528D" w:rsidRDefault="00000000">
      <w:pPr>
        <w:pStyle w:val="ListBullet"/>
        <w:rPr>
          <w:rFonts w:hint="eastAsia"/>
        </w:rPr>
      </w:pPr>
      <w:r>
        <w:t>Proteins have small numbers of precisely placed critical residues  -  DNA-contacting arginines, zinc-coordinating cysteines, splice-site-adjacent residues. Swapping those breaks the whole fold or function, not just one contact.</w:t>
      </w:r>
    </w:p>
    <w:p w14:paraId="0F67C078" w14:textId="77777777" w:rsidR="0022528D" w:rsidRDefault="00000000">
      <w:pPr>
        <w:pStyle w:val="ListBullet"/>
        <w:rPr>
          <w:rFonts w:hint="eastAsia"/>
        </w:rPr>
      </w:pPr>
      <w:r>
        <w:t>No. It is a pathogenicity score, not a risk probability. It says the model ranks this substitution among the most damaging-like substitutions it has seen. Penetrance and disease risk are separate questions.</w:t>
      </w:r>
    </w:p>
    <w:p w14:paraId="1A4F62C9" w14:textId="77777777" w:rsidR="0022528D" w:rsidRDefault="00000000">
      <w:pPr>
        <w:pStyle w:val="ListBullet"/>
        <w:rPr>
          <w:rFonts w:hint="eastAsia"/>
        </w:rPr>
      </w:pPr>
      <w:r>
        <w:t>Because absence of evidence is not evidence of absence: nobody may have tested it, functional assays may not exist, and population databases only rule out high-frequency variants.</w:t>
      </w:r>
    </w:p>
    <w:p w14:paraId="728D6C6B" w14:textId="77777777" w:rsidR="0022528D" w:rsidRDefault="00000000">
      <w:pPr>
        <w:pStyle w:val="ListBullet"/>
        <w:rPr>
          <w:rFonts w:hint="eastAsia"/>
        </w:rPr>
      </w:pPr>
      <w:r>
        <w:t>Expert panel means multiple independent labs reached consensus under formal rules; single submitter is one lab's assertion, which can be wrong or outdated.</w:t>
      </w:r>
    </w:p>
    <w:p w14:paraId="368535F0" w14:textId="77777777" w:rsidR="0022528D" w:rsidRDefault="00000000">
      <w:pPr>
        <w:pStyle w:val="ListBullet"/>
        <w:rPr>
          <w:rFonts w:hint="eastAsia"/>
        </w:rPr>
      </w:pPr>
      <w:r>
        <w:t>Recessive disease needs both copies hit, so disease variants are usually severe loss-of-function or damaging missense changes in people who are healthy carriers with one working copy.</w:t>
      </w:r>
    </w:p>
    <w:p w14:paraId="2F7315C6" w14:textId="77777777" w:rsidR="0022528D" w:rsidRDefault="00000000">
      <w:pPr>
        <w:pStyle w:val="ListBullet"/>
        <w:rPr>
          <w:rFonts w:hint="eastAsia"/>
        </w:rPr>
      </w:pPr>
      <w:r>
        <w:t>Loss of heterozygosity (LOH). One inherited damaged copy plus loss of the normal copy removes all functional TP53  -  the classic two-hit requirement for tumor suppressors.</w:t>
      </w:r>
    </w:p>
    <w:p w14:paraId="6D1721BF" w14:textId="77777777" w:rsidR="0022528D" w:rsidRDefault="00000000">
      <w:pPr>
        <w:rPr>
          <w:rFonts w:hint="eastAsia"/>
        </w:rPr>
      </w:pPr>
      <w:r>
        <w:rPr>
          <w:b/>
          <w:color w:val="0279EE"/>
          <w:sz w:val="25"/>
        </w:rPr>
        <w:t>One browser activity (5 minutes, optional but worth it)</w:t>
      </w:r>
    </w:p>
    <w:p w14:paraId="2B768DE8" w14:textId="77777777" w:rsidR="0022528D" w:rsidRDefault="00000000">
      <w:pPr>
        <w:rPr>
          <w:rFonts w:hint="eastAsia"/>
        </w:rPr>
      </w:pPr>
      <w:r>
        <w:t>Go to clinvar.ncbi.nlm.nih.gov and search for "12374" (that is the ClinVar ID for TP53 R175H). Find: (a) the star rating / review status, (b) at least three conditions listed, (c) the "Assertion criteria" link if present. You will meet this variant again on Tuesday.</w:t>
      </w:r>
    </w:p>
    <w:p w14:paraId="7E2EB7F2" w14:textId="77777777" w:rsidR="0022528D" w:rsidRDefault="00000000">
      <w:pPr>
        <w:rPr>
          <w:rFonts w:hint="eastAsia"/>
        </w:rPr>
      </w:pPr>
      <w:r>
        <w:rPr>
          <w:b/>
          <w:color w:val="0279EE"/>
          <w:sz w:val="25"/>
        </w:rPr>
        <w:t>What to bring Tuesday</w:t>
      </w:r>
    </w:p>
    <w:p w14:paraId="662244D8" w14:textId="0F91C640" w:rsidR="0022528D" w:rsidRDefault="00000000" w:rsidP="00F25CBF">
      <w:r>
        <w:t>A browser and your UD login  -  everything else runs on the Ohio Supercomputer Center through your web browser. The session is a 75-minute hands-on lab: you will open a Jupyter notebook, run provided code, and fill in short answers. No coding background is needed or assumed. The Variant Interpretation Report (30% of the lab portfolio) will be assigned at the end of the session and is due Tuesday, October 13.</w:t>
      </w:r>
    </w:p>
    <w:p w14:paraId="7F7D19F9" w14:textId="7B4468EB" w:rsidR="00F25CBF" w:rsidRDefault="00F25CBF" w:rsidP="00F25CBF">
      <w:pPr>
        <w:rPr>
          <w:rFonts w:hint="eastAsia"/>
        </w:rPr>
      </w:pPr>
      <w:r>
        <w:rPr>
          <w:b/>
          <w:color w:val="0279EE"/>
          <w:sz w:val="25"/>
        </w:rPr>
        <w:lastRenderedPageBreak/>
        <w:t xml:space="preserve">GitHub Repository </w:t>
      </w:r>
      <w:r w:rsidR="00291264">
        <w:rPr>
          <w:b/>
          <w:color w:val="0279EE"/>
          <w:sz w:val="25"/>
        </w:rPr>
        <w:t xml:space="preserve">and Comp. Sci Jargon </w:t>
      </w:r>
      <w:r>
        <w:rPr>
          <w:b/>
          <w:color w:val="0279EE"/>
          <w:sz w:val="25"/>
        </w:rPr>
        <w:t>for Comp Labs</w:t>
      </w:r>
    </w:p>
    <w:p w14:paraId="2E77AEEF" w14:textId="77777777" w:rsidR="00F25CBF" w:rsidRDefault="00F25CBF" w:rsidP="00F25CBF">
      <w:r>
        <w:t>A</w:t>
      </w:r>
      <w:r>
        <w:t xml:space="preserve">ll comp labs for BIO 462/594 will use the material found in the GitHub </w:t>
      </w:r>
      <w:proofErr w:type="spellStart"/>
      <w:r>
        <w:t>Repository:</w:t>
      </w:r>
      <w:proofErr w:type="spellEnd"/>
    </w:p>
    <w:p w14:paraId="20D0A600" w14:textId="34EF1DE2" w:rsidR="00F25CBF" w:rsidRDefault="00F25CBF" w:rsidP="00F25CBF">
      <w:hyperlink r:id="rId8" w:history="1">
        <w:r w:rsidRPr="008E0785">
          <w:rPr>
            <w:rStyle w:val="Hyperlink"/>
          </w:rPr>
          <w:t>https://github.com/asathyanesan/bio462_complabs</w:t>
        </w:r>
      </w:hyperlink>
    </w:p>
    <w:p w14:paraId="14999A56" w14:textId="36AD98C7" w:rsidR="00291264" w:rsidRDefault="00F25CBF" w:rsidP="00F25CBF">
      <w:r>
        <w:t>For those of us biologists who may not have dabbled in computational stuff, GitHub is just a website</w:t>
      </w:r>
      <w:r w:rsidR="00291264">
        <w:t xml:space="preserve"> (in comp sci. speak – a “repo” or repository)</w:t>
      </w:r>
      <w:r>
        <w:t xml:space="preserve"> from where you can download code and software using commands that can be run on a “terminal” </w:t>
      </w:r>
      <w:r w:rsidR="00291264">
        <w:t xml:space="preserve">or a </w:t>
      </w:r>
      <w:proofErr w:type="spellStart"/>
      <w:r w:rsidR="00291264">
        <w:t>jupyter</w:t>
      </w:r>
      <w:proofErr w:type="spellEnd"/>
      <w:r w:rsidR="00291264">
        <w:t xml:space="preserve"> notebook – which is what we will be using in comp labs</w:t>
      </w:r>
      <w:r>
        <w:t>.</w:t>
      </w:r>
      <w:r w:rsidR="00291264">
        <w:t xml:space="preserve"> Here </w:t>
      </w:r>
      <w:r w:rsidR="00764772">
        <w:t>are a few more helpful terms</w:t>
      </w:r>
      <w:r w:rsidR="00291264">
        <w:t>:</w:t>
      </w:r>
    </w:p>
    <w:p w14:paraId="41FE74C7" w14:textId="77777777" w:rsidR="00291264" w:rsidRDefault="00291264" w:rsidP="00F25CBF">
      <w:r w:rsidRPr="00291264">
        <w:rPr>
          <w:b/>
          <w:bCs/>
        </w:rPr>
        <w:t>Jupyter Notebook:</w:t>
      </w:r>
      <w:r>
        <w:t xml:space="preserve"> A </w:t>
      </w:r>
      <w:proofErr w:type="spellStart"/>
      <w:r>
        <w:t>jupyter</w:t>
      </w:r>
      <w:proofErr w:type="spellEnd"/>
      <w:r>
        <w:t xml:space="preserve"> notebook is a web app that you can use to put together a “notebook” that contains live code – which you can then run to process data and generate plots – all within the notebook. This keeps things nice and organized. </w:t>
      </w:r>
    </w:p>
    <w:p w14:paraId="4FB533B9" w14:textId="12FE1D47" w:rsidR="00F25CBF" w:rsidRDefault="00291264" w:rsidP="00F25CBF">
      <w:r w:rsidRPr="00291264">
        <w:rPr>
          <w:b/>
          <w:bCs/>
        </w:rPr>
        <w:t>Python:</w:t>
      </w:r>
      <w:r>
        <w:t xml:space="preserve"> The programming language we will be using for all comp labs is python. Compared to many other languages, python is a much easier-to-learn language, especially for biologists. If you are interested, here is a</w:t>
      </w:r>
      <w:r w:rsidR="00BC62DE">
        <w:t xml:space="preserve">n optional </w:t>
      </w:r>
      <w:r w:rsidR="001455CC">
        <w:t xml:space="preserve">boot camp YouTube video for those interested in learning python: </w:t>
      </w:r>
      <w:hyperlink r:id="rId9" w:history="1">
        <w:r w:rsidR="001455CC" w:rsidRPr="008E0785">
          <w:rPr>
            <w:rStyle w:val="Hyperlink"/>
          </w:rPr>
          <w:t>https://www.youtube.com/watch?v=8DvywoWv6fI</w:t>
        </w:r>
      </w:hyperlink>
      <w:r w:rsidR="00BC62DE">
        <w:t xml:space="preserve"> – this is helpful for when you want to understand the </w:t>
      </w:r>
      <w:r w:rsidR="00764772">
        <w:t xml:space="preserve">basics of the </w:t>
      </w:r>
      <w:r w:rsidR="00BC62DE">
        <w:t xml:space="preserve">code </w:t>
      </w:r>
      <w:r w:rsidR="00764772">
        <w:t>in the comp labs</w:t>
      </w:r>
    </w:p>
    <w:p w14:paraId="452DC302" w14:textId="19E7054B" w:rsidR="00764772" w:rsidRDefault="00764772" w:rsidP="00F25CBF">
      <w:r w:rsidRPr="00764772">
        <w:rPr>
          <w:b/>
          <w:bCs/>
        </w:rPr>
        <w:t>Ohio Supercomputer Center (OSC):</w:t>
      </w:r>
      <w:r>
        <w:t xml:space="preserve"> The OSC is a state resource that helps university students and faculty in Ohio to access computational resources that can enable the processing of large amounts of data, </w:t>
      </w:r>
      <w:proofErr w:type="gramStart"/>
      <w:r>
        <w:t>really fast</w:t>
      </w:r>
      <w:proofErr w:type="gramEnd"/>
      <w:r>
        <w:t xml:space="preserve">. We will be using the “cluster computing” resource available through the OSC which allows us to use a tiny part of the supercomputer to run our </w:t>
      </w:r>
      <w:proofErr w:type="spellStart"/>
      <w:r w:rsidR="001101AD">
        <w:t>jupyter</w:t>
      </w:r>
      <w:proofErr w:type="spellEnd"/>
      <w:r w:rsidR="001101AD">
        <w:t xml:space="preserve"> notebook code. There are different “clusters” within the OSC from which we will use the “Pitzer” cluster for running all our code.</w:t>
      </w:r>
    </w:p>
    <w:p w14:paraId="434E2FD0" w14:textId="6C611768" w:rsidR="00BC62DE" w:rsidRDefault="00764772" w:rsidP="00F25CBF">
      <w:r w:rsidRPr="001101AD">
        <w:rPr>
          <w:b/>
          <w:bCs/>
        </w:rPr>
        <w:t>Shell</w:t>
      </w:r>
      <w:r w:rsidR="001101AD" w:rsidRPr="001101AD">
        <w:rPr>
          <w:b/>
          <w:bCs/>
        </w:rPr>
        <w:t xml:space="preserve"> access</w:t>
      </w:r>
      <w:r w:rsidRPr="001101AD">
        <w:rPr>
          <w:b/>
          <w:bCs/>
        </w:rPr>
        <w:t xml:space="preserve">: </w:t>
      </w:r>
      <w:r w:rsidR="001101AD">
        <w:t>This is a form of “command line” access that allows us to directly access the files and folders within our cluster space within OSC. We will be using this to download the code we need from the GitHub repo and organize these files and folders within OSC.</w:t>
      </w:r>
    </w:p>
    <w:p w14:paraId="04A7778E" w14:textId="6A972426" w:rsidR="00FC32A7" w:rsidRPr="00FC32A7" w:rsidRDefault="001101AD" w:rsidP="00F25CBF">
      <w:pPr>
        <w:rPr>
          <w:rFonts w:hint="eastAsia"/>
        </w:rPr>
      </w:pPr>
      <w:r w:rsidRPr="001101AD">
        <w:rPr>
          <w:b/>
          <w:bCs/>
        </w:rPr>
        <w:t>Home directory:</w:t>
      </w:r>
      <w:r>
        <w:t xml:space="preserve"> Every computer has a “Home” directory or something like it. Similarly, every user on OSC will have their own home directory. This is the default destination for the files to be downloaded on OSC. If it is not specified outright, files will automatically be downloaded into the </w:t>
      </w:r>
      <w:proofErr w:type="gramStart"/>
      <w:r>
        <w:t>Home</w:t>
      </w:r>
      <w:proofErr w:type="gramEnd"/>
      <w:r>
        <w:t xml:space="preserve"> directory.</w:t>
      </w:r>
    </w:p>
    <w:sectPr w:rsidR="00FC32A7" w:rsidRPr="00FC32A7"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2EF45" w14:textId="77777777" w:rsidR="005E4DED" w:rsidRDefault="005E4DED">
      <w:pPr>
        <w:spacing w:after="0" w:line="240" w:lineRule="auto"/>
        <w:rPr>
          <w:rFonts w:hint="eastAsia"/>
        </w:rPr>
      </w:pPr>
      <w:r>
        <w:separator/>
      </w:r>
    </w:p>
  </w:endnote>
  <w:endnote w:type="continuationSeparator" w:id="0">
    <w:p w14:paraId="07727106" w14:textId="77777777" w:rsidR="005E4DED" w:rsidRDefault="005E4D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C7EF" w14:textId="77777777" w:rsidR="0022528D" w:rsidRDefault="0022528D">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8CA3" w14:textId="77777777" w:rsidR="0022528D" w:rsidRDefault="0022528D">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27D5" w14:textId="77777777" w:rsidR="0022528D" w:rsidRDefault="0022528D">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A25C" w14:textId="77777777" w:rsidR="005E4DED" w:rsidRDefault="005E4DED">
      <w:pPr>
        <w:spacing w:after="0" w:line="240" w:lineRule="auto"/>
        <w:rPr>
          <w:rFonts w:hint="eastAsia"/>
        </w:rPr>
      </w:pPr>
      <w:r>
        <w:separator/>
      </w:r>
    </w:p>
  </w:footnote>
  <w:footnote w:type="continuationSeparator" w:id="0">
    <w:p w14:paraId="315AAAA1" w14:textId="77777777" w:rsidR="005E4DED" w:rsidRDefault="005E4DE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C655" w14:textId="77777777" w:rsidR="0022528D" w:rsidRDefault="0022528D">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CCAD" w14:textId="77777777" w:rsidR="0022528D" w:rsidRDefault="0022528D">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D56E" w14:textId="77777777" w:rsidR="0022528D" w:rsidRDefault="0022528D">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836118">
    <w:abstractNumId w:val="8"/>
  </w:num>
  <w:num w:numId="2" w16cid:durableId="171381646">
    <w:abstractNumId w:val="6"/>
  </w:num>
  <w:num w:numId="3" w16cid:durableId="1712076622">
    <w:abstractNumId w:val="5"/>
  </w:num>
  <w:num w:numId="4" w16cid:durableId="1056590600">
    <w:abstractNumId w:val="4"/>
  </w:num>
  <w:num w:numId="5" w16cid:durableId="360278582">
    <w:abstractNumId w:val="7"/>
  </w:num>
  <w:num w:numId="6" w16cid:durableId="238753140">
    <w:abstractNumId w:val="3"/>
  </w:num>
  <w:num w:numId="7" w16cid:durableId="447553472">
    <w:abstractNumId w:val="2"/>
  </w:num>
  <w:num w:numId="8" w16cid:durableId="752550582">
    <w:abstractNumId w:val="1"/>
  </w:num>
  <w:num w:numId="9" w16cid:durableId="153337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1AD"/>
    <w:rsid w:val="001246C5"/>
    <w:rsid w:val="001455CC"/>
    <w:rsid w:val="0015074B"/>
    <w:rsid w:val="0022528D"/>
    <w:rsid w:val="00291264"/>
    <w:rsid w:val="0029639D"/>
    <w:rsid w:val="00326F90"/>
    <w:rsid w:val="005E4DED"/>
    <w:rsid w:val="00764772"/>
    <w:rsid w:val="00AA1D8D"/>
    <w:rsid w:val="00B47730"/>
    <w:rsid w:val="00BC62DE"/>
    <w:rsid w:val="00CB0664"/>
    <w:rsid w:val="00F25CBF"/>
    <w:rsid w:val="00FC32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F7B3B"/>
  <w14:defaultImageDpi w14:val="300"/>
  <w15:docId w15:val="{690F5B06-F3BA-4A19-87DC-EE6EC65E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CBF"/>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5CBF"/>
    <w:rPr>
      <w:color w:val="0000FF" w:themeColor="hyperlink"/>
      <w:u w:val="single"/>
    </w:rPr>
  </w:style>
  <w:style w:type="character" w:styleId="UnresolvedMention">
    <w:name w:val="Unresolved Mention"/>
    <w:basedOn w:val="DefaultParagraphFont"/>
    <w:uiPriority w:val="99"/>
    <w:semiHidden/>
    <w:unhideWhenUsed/>
    <w:rsid w:val="00F25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athyanesan/bio462_complab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8DvywoWv6fI"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Sathyanesan</cp:lastModifiedBy>
  <cp:revision>2</cp:revision>
  <dcterms:created xsi:type="dcterms:W3CDTF">2013-12-23T23:15:00Z</dcterms:created>
  <dcterms:modified xsi:type="dcterms:W3CDTF">2026-09-27T22:35:00Z</dcterms:modified>
  <cp:category/>
</cp:coreProperties>
</file>