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79EE"/>
          <w:sz w:val="32"/>
        </w:rPr>
        <w:t>Variant Interpretation Report — Assignment and Rubric</w:t>
      </w:r>
    </w:p>
    <w:p>
      <w:r>
        <w:rPr>
          <w:i/>
          <w:sz w:val="20"/>
        </w:rPr>
        <w:t>BIO 462/594 Computational Lab Portfolio, Item 1 (30% of portfolio) | Assigned Tue Sep 29 | Due Tue Oct 13, 11:59 PM via Canvas. Submit as a single PDF, 2–3 pages plus references.</w:t>
      </w:r>
    </w:p>
    <w:p>
      <w:r>
        <w:rPr>
          <w:b/>
          <w:color w:val="0279EE"/>
          <w:sz w:val="25"/>
        </w:rPr>
        <w:t>The task</w:t>
      </w:r>
    </w:p>
    <w:p>
      <w:r>
        <w:rPr>
          <w:b w:val="0"/>
          <w:i w:val="0"/>
        </w:rPr>
        <w:t>You scored every missense variant in TP53, BRCA1, and RPS19 with AlphaMissense and reconciled the scores against ClinVar. Now write a clinical-style variant interpretation report for THREE variants — one from each gene — chosen from the curated panel. At least one of your three must be a disagreement or conflicting case (panel_category "disagreement" or "conflicting").</w:t>
      </w:r>
    </w:p>
    <w:p>
      <w:r>
        <w:rPr>
          <w:b/>
          <w:color w:val="0279EE"/>
          <w:sz w:val="25"/>
        </w:rPr>
        <w:t>Required sections (2–3 pages, plus references)</w:t>
      </w:r>
    </w:p>
    <w:p>
      <w:pPr>
        <w:pStyle w:val="ListNumber"/>
      </w:pPr>
      <w:r>
        <w:t>Variant and gene context (per variant, ~1 paragraph). What does the gene do, what disease does it cause, and where in the protein does your variant sit? Name the domain or functional region.</w:t>
      </w:r>
    </w:p>
    <w:p>
      <w:pPr>
        <w:pStyle w:val="ListNumber"/>
      </w:pPr>
      <w:r>
        <w:t>Model evidence. Report the AlphaMissense class and score, and interpret the number honestly — what a 0.99 does and does not mean.</w:t>
      </w:r>
    </w:p>
    <w:p>
      <w:pPr>
        <w:pStyle w:val="ListNumber"/>
      </w:pPr>
      <w:r>
        <w:t>Clinical evidence. Report the ClinVar assertion, review status, number of conditions, and last-evaluated date. If the variant is VUS or absent, say what that means.</w:t>
      </w:r>
    </w:p>
    <w:p>
      <w:pPr>
        <w:pStyle w:val="ListNumber"/>
      </w:pPr>
      <w:r>
        <w:t>ACMG classification. Apply the criteria from class (you may use the full 2015 framework, not just the five codes). List each code you invoke and the evidence behind it. State your final classification.</w:t>
      </w:r>
    </w:p>
    <w:p>
      <w:pPr>
        <w:pStyle w:val="ListNumber"/>
      </w:pPr>
      <w:r>
        <w:t>Model vs. ground truth statement (required by the course AI policy). In 2–3 sentences: what did the model predict, what is the curated/experimental ground truth, and did they agree? If they disagreed, give your best hypothesis for why.</w:t>
      </w:r>
    </w:p>
    <w:p>
      <w:r>
        <w:rPr>
          <w:b/>
          <w:color w:val="0279EE"/>
          <w:sz w:val="25"/>
        </w:rPr>
        <w:t>Rules</w:t>
      </w:r>
    </w:p>
    <w:p>
      <w:pPr>
        <w:pStyle w:val="ListBullet"/>
      </w:pPr>
      <w:r>
        <w:t>Your writing must be your own. You may use an LLM for coding/debugging only (course policy); any other use must be acknowledged.</w:t>
      </w:r>
    </w:p>
    <w:p>
      <w:pPr>
        <w:pStyle w:val="ListBullet"/>
      </w:pPr>
      <w:r>
        <w:t>Cite sources: the AlphaMissense paper (Cheng et al., Science 2023), ClinVar (give the VariationID and the URL), and any domain literature. Citation style is your choice, be consistent.</w:t>
      </w:r>
    </w:p>
    <w:p>
      <w:pPr>
        <w:pStyle w:val="ListBullet"/>
      </w:pPr>
      <w:r>
        <w:t>You may change your mind relative to ClinVar — but you must defend the change with evidence, not vibes.</w:t>
      </w:r>
    </w:p>
    <w:p>
      <w:pPr>
        <w:pStyle w:val="ListBullet"/>
      </w:pPr>
      <w:r>
        <w:t>BIO 594: additionally modify one piece of the lab code (e.g., a new threshold analysis or plot), include the output, and document what you changed (portfolio requirement).</w:t>
      </w:r>
    </w:p>
    <w:p>
      <w:r>
        <w:rPr>
          <w:b/>
          <w:color w:val="0279EE"/>
          <w:sz w:val="25"/>
        </w:rPr>
        <w:t>Grading rubric (100 points)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Criterion</w:t>
            </w:r>
          </w:p>
        </w:tc>
        <w:tc>
          <w:tcPr>
            <w:tcW w:type="dxa" w:w="1008"/>
          </w:tcPr>
          <w:p>
            <w:r>
              <w:rPr>
                <w:b/>
              </w:rPr>
              <w:t>Points</w:t>
            </w:r>
          </w:p>
        </w:tc>
        <w:tc>
          <w:tcPr>
            <w:tcW w:type="dxa" w:w="6048"/>
          </w:tcPr>
          <w:p>
            <w:r>
              <w:rPr>
                <w:b/>
              </w:rPr>
              <w:t>Full credit looks like</w:t>
            </w:r>
          </w:p>
        </w:tc>
      </w:tr>
      <w:tr>
        <w:tc>
          <w:tcPr>
            <w:tcW w:type="dxa" w:w="2304"/>
          </w:tcPr>
          <w:p>
            <w:r>
              <w:t>Accurate reporting of evidence</w:t>
            </w:r>
          </w:p>
        </w:tc>
        <w:tc>
          <w:tcPr>
            <w:tcW w:type="dxa" w:w="1008"/>
          </w:tcPr>
          <w:p>
            <w:r>
              <w:t>25</w:t>
            </w:r>
          </w:p>
        </w:tc>
        <w:tc>
          <w:tcPr>
            <w:tcW w:type="dxa" w:w="6048"/>
          </w:tcPr>
          <w:p>
            <w:r>
              <w:t>Scores, classes, ClinVar assertions, review statuses, and dates all correct and correctly attributed; no invented evidence.</w:t>
            </w:r>
          </w:p>
        </w:tc>
      </w:tr>
      <w:tr>
        <w:tc>
          <w:tcPr>
            <w:tcW w:type="dxa" w:w="2304"/>
          </w:tcPr>
          <w:p>
            <w:r>
              <w:t>ACMG reasoning</w:t>
            </w:r>
          </w:p>
        </w:tc>
        <w:tc>
          <w:tcPr>
            <w:tcW w:type="dxa" w:w="1008"/>
          </w:tcPr>
          <w:p>
            <w:r>
              <w:t>30</w:t>
            </w:r>
          </w:p>
        </w:tc>
        <w:tc>
          <w:tcPr>
            <w:tcW w:type="dxa" w:w="6048"/>
          </w:tcPr>
          <w:p>
            <w:r>
              <w:t>Codes match the evidence; strengths are used correctly; the final classification follows from the codes, not from intuition; uncertainty is stated where it exists.</w:t>
            </w:r>
          </w:p>
        </w:tc>
      </w:tr>
      <w:tr>
        <w:tc>
          <w:tcPr>
            <w:tcW w:type="dxa" w:w="2304"/>
          </w:tcPr>
          <w:p>
            <w:r>
              <w:t>Disagreement analysis</w:t>
            </w:r>
          </w:p>
        </w:tc>
        <w:tc>
          <w:tcPr>
            <w:tcW w:type="dxa" w:w="1008"/>
          </w:tcPr>
          <w:p>
            <w:r>
              <w:t>20</w:t>
            </w:r>
          </w:p>
        </w:tc>
        <w:tc>
          <w:tcPr>
            <w:tcW w:type="dxa" w:w="6048"/>
          </w:tcPr>
          <w:p>
            <w:r>
              <w:t>The disagreement/conflicting variant is analyzed mechanistically: why the model and curators diverge, what evidence would resolve it.</w:t>
            </w:r>
          </w:p>
        </w:tc>
      </w:tr>
      <w:tr>
        <w:tc>
          <w:tcPr>
            <w:tcW w:type="dxa" w:w="2304"/>
          </w:tcPr>
          <w:p>
            <w:r>
              <w:t>Model vs. ground truth statement</w:t>
            </w:r>
          </w:p>
        </w:tc>
        <w:tc>
          <w:tcPr>
            <w:tcW w:type="dxa" w:w="1008"/>
          </w:tcPr>
          <w:p>
            <w:r>
              <w:t>15</w:t>
            </w:r>
          </w:p>
        </w:tc>
        <w:tc>
          <w:tcPr>
            <w:tcW w:type="dxa" w:w="6048"/>
          </w:tcPr>
          <w:p>
            <w:r>
              <w:t>Explicit, honest, and conceptually correct — treats ClinVar as curated evidence with its own confidence levels, not as infallible truth.</w:t>
            </w:r>
          </w:p>
        </w:tc>
      </w:tr>
      <w:tr>
        <w:tc>
          <w:tcPr>
            <w:tcW w:type="dxa" w:w="2304"/>
          </w:tcPr>
          <w:p>
            <w:r>
              <w:t>Writing and organization</w:t>
            </w:r>
          </w:p>
        </w:tc>
        <w:tc>
          <w:tcPr>
            <w:tcW w:type="dxa" w:w="1008"/>
          </w:tcPr>
          <w:p>
            <w:r>
              <w:t>10</w:t>
            </w:r>
          </w:p>
        </w:tc>
        <w:tc>
          <w:tcPr>
            <w:tcW w:type="dxa" w:w="6048"/>
          </w:tcPr>
          <w:p>
            <w:r>
              <w:t>Sections in order, within length, figures/tables referenced and captioned, consistent citations.</w:t>
            </w:r>
          </w:p>
        </w:tc>
      </w:tr>
    </w:tbl>
    <w:p>
      <w:r>
        <w:rPr>
          <w:b w:val="0"/>
          <w:i/>
        </w:rPr>
        <w:t>Late policy: 10% per day for three days, then not accepted (syllabus). Extensions require a request before the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