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Название задачи: Передача ставок в кол-центр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Автор: Белов А.С.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Дата: 12.02.2025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Функциональные требования представлены в виде модели вариантов использования (см файл usecases.drawio вкладка “Модель вариантов использования”). В таблице 1 представлены основные потоки событий по ключевым варианта использования.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1. Варианты использования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1695"/>
        <w:gridCol w:w="1755"/>
        <w:gridCol w:w="5085"/>
        <w:tblGridChange w:id="0">
          <w:tblGrid>
            <w:gridCol w:w="465"/>
            <w:gridCol w:w="1695"/>
            <w:gridCol w:w="1755"/>
            <w:gridCol w:w="5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Действующие лица или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Варианты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right="-85.62992125984181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Основной поток событий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кол-центра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 кол-центра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кол-центра получает актуальные ставки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переходит в раздел просмотра ставок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кол-центра отображает список ставок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партнёрского кол-центра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 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партнёрского 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кол-центра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АБС обновляет файл ставок в файловом хранилище, формирует ссылку на файл;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АБС отправляет email уведомление об обновлении ставок с ссылкой на файл ставок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Сотрудник партнёрского кол-центра получает email уведомление и скачивает файл по ссылке в письме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2.</w:t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8190"/>
        <w:tblGridChange w:id="0">
          <w:tblGrid>
            <w:gridCol w:w="750"/>
            <w:gridCol w:w="8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+R05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Получать актуальные ставки в виде файлов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uwmhocf44w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yjcw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представлено в виде диаграммы контекста и контейнеров см файл usecases.drawio вкладка “Контекст” и “Контейнеры”.</w:t>
      </w:r>
    </w:p>
    <w:p w:rsidR="00000000" w:rsidDel="00000000" w:rsidP="00000000" w:rsidRDefault="00000000" w:rsidRPr="00000000" w14:paraId="0000002A">
      <w:pPr>
        <w:pStyle w:val="Heading4"/>
        <w:spacing w:after="240" w:before="240" w:lineRule="auto"/>
        <w:rPr/>
      </w:pPr>
      <w:bookmarkStart w:colFirst="0" w:colLast="0" w:name="_heading=h.lgbh5sgsp8q6" w:id="7"/>
      <w:bookmarkEnd w:id="7"/>
      <w:r w:rsidDel="00000000" w:rsidR="00000000" w:rsidRPr="00000000">
        <w:rPr>
          <w:rtl w:val="0"/>
        </w:rPr>
        <w:t xml:space="preserve">АБС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Для предоставления файла по ставкам будет развернуто файловое хранилище FileExchange. При получении обновленных ставок DepositRequestManager создает файл с актуальными ставками, размещает в FileExchange, формирует уникальную ссылку на файл и отправляет e-mail уведомление на почту партнерского кол-центра. В уведомлении содержится ссылка на файл.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dy6vk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Альтернативы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Вместо ссылки на файл отправить в email уведомлении сам файл. Передавать файл менее безопасно. Ссылку можно в любой момент (или по истечении определенного времени) времени сделать недоступной.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0" w:lineRule="auto"/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Недостатки, ограничения, риски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Просматривать информацию через файл менее удобно, чем через специализированный UI. Передавать информацию файлом менее безопасно, чем через API по https, так как повышается вероятность  утечки информации.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evcBHKhMwRrMkSZYCpk6p/0PUw==">CgMxLjAyCGguZ2pkZ3hzMgloLjMwajB6bGwyCWguMWZvYjl0ZTIJaC4zem55c2g3MgloLjJldDkycDAyDmguOXV3bWhvY2Y0NHdyMghoLnR5amN3dDIOaC5sZ2JoNXNnc3A4cTYyCWguM2R5NnZrbTgAciExdV9rYnR6TlBwVzZJVV9EY29hOTdFV0FZTUlqLTJ1Yms=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