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Begrunnelse for sladding av tilbud</w:t>
      </w:r>
    </w:p>
    <w:p>
      <w:r>
        <w:t>Leverandør: Asbjørn Rørvik (org.nr 820 252 632)</w:t>
        <w:br/>
        <w:t>Sak: 2026-105336 — Utvikling av selvhjelpsapp for personer som bruker kokain</w:t>
        <w:br/>
        <w:t>Dato: 24. april 2026</w:t>
      </w:r>
    </w:p>
    <w:p>
      <w:pPr>
        <w:pStyle w:val="Heading2"/>
      </w:pPr>
      <w:r>
        <w:t>Hva er sladdet</w:t>
      </w:r>
    </w:p>
    <w:p>
      <w:r>
        <w:t>I tråd med Vedlegg 1 «Veiledning for sladding av tilbud» og forvaltningsloven § 13 (1) nr. 2 har Leverandør sladdet opplysninger som vurderes å være av konkurransemessig betydning å hemmeligholde:</w:t>
      </w:r>
    </w:p>
    <w:p>
      <w:pPr>
        <w:pStyle w:val="ListBullet"/>
      </w:pPr>
      <w:r>
        <w:t>Enhetspriser i Bilag 7 Prisskjema (rad 11 Hovedoppdrag, rad 15 Vedlikehold, rad 19/20 Timepriser, rad 24 Opplæring) — enhetspriser og rabattprosenter er forretningshemmeligheter jf. forvaltningsloven § 13 (1) nr. 2.</w:t>
      </w:r>
    </w:p>
    <w:p>
      <w:pPr>
        <w:pStyle w:val="ListBullet"/>
      </w:pPr>
      <w:r>
        <w:t>Leverandørens tilhørende beskrivelser (kolonne F) — tilknyttet enhetsprisene og reflekterer Leverandørens prismodell.</w:t>
      </w:r>
    </w:p>
    <w:p>
      <w:pPr>
        <w:pStyle w:val="Heading2"/>
      </w:pPr>
      <w:r>
        <w:t>Hva er IKKE sladdet</w:t>
      </w:r>
    </w:p>
    <w:p>
      <w:r>
        <w:t>I tråd med veiledningen er følgende opplysninger ikke sladdet:</w:t>
      </w:r>
    </w:p>
    <w:p>
      <w:pPr>
        <w:pStyle w:val="ListBullet"/>
      </w:pPr>
      <w:r>
        <w:t>Totalpris for hovedoppdraget og samlet evalueringspris — ikke forretningshemmelighet jf. veiledningens punkt om totalpriser.</w:t>
      </w:r>
    </w:p>
    <w:p>
      <w:pPr>
        <w:pStyle w:val="ListBullet"/>
      </w:pPr>
      <w:r>
        <w:t>Øvrige bilag, tilbudsbrev og prosjektplan — inneholder ingen forretningshemmeligheter eller personopplysninger som krever sladding.</w:t>
      </w:r>
    </w:p>
    <w:p>
      <w:pPr>
        <w:pStyle w:val="ListBullet"/>
      </w:pPr>
      <w:r>
        <w:t>CV-opplysninger og referansebeskrivelser — veiledningen spesifiserer at «sammensetning av team/CV til tilbudte ressurser» ikke er forretningshemmelighet.</w:t>
      </w:r>
    </w:p>
    <w:p>
      <w:pPr>
        <w:pStyle w:val="Heading2"/>
      </w:pPr>
      <w:r>
        <w:t>Sladdet versjon — format</w:t>
      </w:r>
    </w:p>
    <w:p>
      <w:r>
        <w:t>To versjoner leveres i tråd med veiledningens punkt om sladdet versjon:</w:t>
        <w:br/>
        <w:t>• Sladd-GUL — Prisskjema.xlsx: sensitive felter er markert med gul celle-bakgrunn, innhold er beholdt og kan redigeres. Brukes for intern vurdering hos Oppdragsgiver.</w:t>
        <w:br/>
        <w:t>• Sladd-SVART — Prisskjema.xlsx: sensitive felter er erstattet med ████ og har svart celle-bakgrunn. Brukes ved eventuell innsynsbegjæring.</w:t>
        <w:br/>
        <w:br/>
        <w:t>Øvrige tilbudsdokumenter (tilbudsbrev, Bilag 2, Bilag 4, Bilag 10, CV, kvalifikasjonsdokumenter) er identiske med originalen — ingen sladding er påkrevd for disse.</w:t>
      </w:r>
    </w:p>
    <w:p>
      <w:r>
        <w:t>Oppdragsgiver står fritt til å vurdere om sladdingen er begrunnet, jf. Vedlegg 1 «Veiledning for sladding av tilbud».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