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i w:val="0"/>
          <w:color w:val="2D1B69"/>
          <w:sz w:val="52"/>
        </w:rPr>
        <w:t>Ascenda</w:t>
      </w:r>
    </w:p>
    <w:p>
      <w:pPr>
        <w:spacing w:before="0" w:after="40"/>
      </w:pPr>
      <w:r>
        <w:rPr>
          <w:b/>
          <w:i w:val="0"/>
          <w:color w:val="7C3AED"/>
          <w:sz w:val="26"/>
        </w:rPr>
        <w:t>Counsellor &amp; Faculty Presentation Guide</w:t>
      </w:r>
    </w:p>
    <w:p>
      <w:pPr>
        <w:spacing w:before="0" w:after="280"/>
      </w:pPr>
      <w:r>
        <w:rPr>
          <w:b w:val="0"/>
          <w:i w:val="0"/>
          <w:color w:val="6B7280"/>
          <w:sz w:val="19"/>
        </w:rPr>
        <w:t>1:1 buy-in  ·  ~20 min  ·  Feedback gathering</w:t>
      </w:r>
    </w:p>
    <w:p>
      <w:pPr>
        <w:spacing w:before="0" w:after="100"/>
        <w:pBdr>
          <w:bottom w:val="single" w:sz="4" w:space="4" w:color="7c3aed"/>
        </w:pBdr>
      </w:pPr>
      <w:r>
        <w:rPr>
          <w:b/>
          <w:i w:val="0"/>
          <w:color w:val="2D1B69"/>
          <w:sz w:val="23"/>
        </w:rPr>
        <w:t>WHAT THIS SESSION IS FOR</w:t>
      </w:r>
    </w:p>
    <w:p>
      <w:pPr>
        <w:spacing w:before="120" w:after="80"/>
      </w:pPr>
      <w:r>
        <w:rPr>
          <w:b w:val="0"/>
          <w:i w:val="0"/>
          <w:sz w:val="21"/>
        </w:rPr>
        <w:t>You're not demoing a finished product. You're showing a counsellor how their day could look — and then listening. Two goals: spark genuine interest, and leave with honest feedback you can act on.</w:t>
      </w:r>
    </w:p>
    <w:p>
      <w:pPr>
        <w:spacing w:before="0" w:after="80"/>
      </w:pPr>
      <w:r>
        <w:rPr>
          <w:b w:val="0"/>
          <w:i w:val="0"/>
          <w:sz w:val="21"/>
        </w:rPr>
        <w:t>Every feature you show should answer a problem they've already told you they have. If you don't know their problems yet, ask before you open the laptop.</w:t>
      </w:r>
    </w:p>
    <w:p>
      <w:pPr>
        <w:spacing w:before="360" w:after="100"/>
        <w:pBdr>
          <w:bottom w:val="single" w:sz="4" w:space="4" w:color="7c3aed"/>
        </w:pBdr>
      </w:pPr>
      <w:r>
        <w:rPr>
          <w:b/>
          <w:i w:val="0"/>
          <w:color w:val="2D1B69"/>
          <w:sz w:val="23"/>
        </w:rPr>
        <w:t>BEFORE THE CALL</w:t>
      </w:r>
    </w:p>
    <w:p>
      <w:pPr>
        <w:spacing w:before="100" w:after="80"/>
      </w:pPr>
      <w:r>
        <w:rPr>
          <w:b w:val="0"/>
          <w:i w:val="0"/>
          <w:sz w:val="21"/>
        </w:rPr>
        <w:t>Know their context before you start — these shape which parts of the demo to emphasise:</w:t>
      </w:r>
    </w:p>
    <w:p>
      <w:pPr>
        <w:spacing w:before="60" w:after="20"/>
        <w:ind w:left="170"/>
      </w:pPr>
      <w:r>
        <w:rPr>
          <w:b/>
          <w:i w:val="0"/>
          <w:color w:val="7C3AED"/>
          <w:sz w:val="20"/>
        </w:rPr>
        <w:t xml:space="preserve">▸  </w:t>
      </w:r>
      <w:r>
        <w:rPr>
          <w:b/>
          <w:i w:val="0"/>
          <w:sz w:val="20"/>
        </w:rPr>
        <w:t xml:space="preserve">How many students do they manage?  </w:t>
      </w:r>
      <w:r>
        <w:rPr>
          <w:b w:val="0"/>
          <w:i w:val="0"/>
          <w:color w:val="6B7280"/>
          <w:sz w:val="20"/>
        </w:rPr>
        <w:t>Determines how much the at-risk panel and bulk document nudging will resonate.</w:t>
      </w:r>
    </w:p>
    <w:p>
      <w:pPr>
        <w:spacing w:before="60" w:after="20"/>
        <w:ind w:left="170"/>
      </w:pPr>
      <w:r>
        <w:rPr>
          <w:b/>
          <w:i w:val="0"/>
          <w:color w:val="7C3AED"/>
          <w:sz w:val="20"/>
        </w:rPr>
        <w:t xml:space="preserve">▸  </w:t>
      </w:r>
      <w:r>
        <w:rPr>
          <w:b/>
          <w:i w:val="0"/>
          <w:sz w:val="20"/>
        </w:rPr>
        <w:t xml:space="preserve">IB, A-Level, or mixed?  </w:t>
      </w:r>
      <w:r>
        <w:rPr>
          <w:b w:val="0"/>
          <w:i w:val="0"/>
          <w:color w:val="6B7280"/>
          <w:sz w:val="20"/>
        </w:rPr>
        <w:t>Affects whether the profile → pathway pill or the grade-tracking in Timeline is more relevant.</w:t>
      </w:r>
    </w:p>
    <w:p>
      <w:pPr>
        <w:spacing w:before="60" w:after="20"/>
        <w:ind w:left="170"/>
      </w:pPr>
      <w:r>
        <w:rPr>
          <w:b/>
          <w:i w:val="0"/>
          <w:color w:val="7C3AED"/>
          <w:sz w:val="20"/>
        </w:rPr>
        <w:t xml:space="preserve">▸  </w:t>
      </w:r>
      <w:r>
        <w:rPr>
          <w:b/>
          <w:i w:val="0"/>
          <w:sz w:val="20"/>
        </w:rPr>
        <w:t xml:space="preserve">Do they use Cialfo, UCAS Hub, or nothing?  </w:t>
      </w:r>
      <w:r>
        <w:rPr>
          <w:b w:val="0"/>
          <w:i w:val="0"/>
          <w:color w:val="6B7280"/>
          <w:sz w:val="20"/>
        </w:rPr>
        <w:t>If Cialfo: lean into the Timeline — it's the clear gap. If nothing: lean into everything.</w:t>
      </w:r>
    </w:p>
    <w:p>
      <w:pPr>
        <w:spacing w:before="60" w:after="20"/>
        <w:ind w:left="170"/>
      </w:pPr>
      <w:r>
        <w:rPr>
          <w:b/>
          <w:i w:val="0"/>
          <w:color w:val="7C3AED"/>
          <w:sz w:val="20"/>
        </w:rPr>
        <w:t xml:space="preserve">▸  </w:t>
      </w:r>
      <w:r>
        <w:rPr>
          <w:b/>
          <w:i w:val="0"/>
          <w:sz w:val="20"/>
        </w:rPr>
        <w:t xml:space="preserve">What part of the cycle are they in right now?  </w:t>
      </w:r>
      <w:r>
        <w:rPr>
          <w:b w:val="0"/>
          <w:i w:val="0"/>
          <w:color w:val="6B7280"/>
          <w:sz w:val="20"/>
        </w:rPr>
        <w:t>If deadlines are imminent, lead with Documents and at-risk. If early in cycle, lead with student detail and Timeline.</w:t>
      </w:r>
    </w:p>
    <w:p>
      <w:pPr>
        <w:spacing w:before="160" w:after="60"/>
      </w:pPr>
      <w:r>
        <w:rPr>
          <w:b/>
          <w:i w:val="0"/>
          <w:sz w:val="20"/>
        </w:rPr>
        <w:t>Technical setup:</w:t>
      </w:r>
    </w:p>
    <w:p>
      <w:pPr>
        <w:spacing w:before="20" w:after="20"/>
        <w:ind w:left="170"/>
      </w:pPr>
      <w:r>
        <w:rPr>
          <w:b/>
          <w:i w:val="0"/>
          <w:color w:val="7C3AED"/>
          <w:sz w:val="20"/>
        </w:rPr>
        <w:t xml:space="preserve">▸  </w:t>
      </w:r>
      <w:r>
        <w:rPr>
          <w:b w:val="0"/>
          <w:i w:val="0"/>
          <w:sz w:val="20"/>
        </w:rPr>
        <w:t>Reset demo state in Supabase (SQL in the demo script) — bell must start at zero.</w:t>
      </w:r>
    </w:p>
    <w:p>
      <w:pPr>
        <w:spacing w:before="20" w:after="20"/>
        <w:ind w:left="170"/>
      </w:pPr>
      <w:r>
        <w:rPr>
          <w:b/>
          <w:i w:val="0"/>
          <w:color w:val="7C3AED"/>
          <w:sz w:val="20"/>
        </w:rPr>
        <w:t xml:space="preserve">▸  </w:t>
      </w:r>
      <w:r>
        <w:rPr>
          <w:b w:val="0"/>
          <w:i w:val="0"/>
          <w:sz w:val="20"/>
        </w:rPr>
        <w:t>Platform open on /dashboard, clean Chrome profile. Faculty view pill visible top-right.</w:t>
      </w:r>
    </w:p>
    <w:p>
      <w:pPr>
        <w:spacing w:before="20" w:after="20"/>
        <w:ind w:left="170"/>
      </w:pPr>
      <w:r>
        <w:rPr>
          <w:b/>
          <w:i w:val="0"/>
          <w:color w:val="7C3AED"/>
          <w:sz w:val="20"/>
        </w:rPr>
        <w:t xml:space="preserve">▸  </w:t>
      </w:r>
      <w:r>
        <w:rPr>
          <w:b w:val="0"/>
          <w:i w:val="0"/>
          <w:sz w:val="20"/>
        </w:rPr>
        <w:t>Second tab pre-logged-in as backup. Don't switch tabs mid-demo.</w:t>
      </w:r>
    </w:p>
    <w:p>
      <w:pPr>
        <w:spacing w:before="360" w:after="100"/>
        <w:pBdr>
          <w:bottom w:val="single" w:sz="4" w:space="4" w:color="7c3aed"/>
        </w:pBdr>
      </w:pPr>
      <w:r>
        <w:rPr>
          <w:b/>
          <w:i w:val="0"/>
          <w:color w:val="2D1B69"/>
          <w:sz w:val="23"/>
        </w:rPr>
        <w:t>OPENING — SET THE FRAME (2 MIN)</w:t>
      </w:r>
    </w:p>
    <w:p>
      <w:pPr>
        <w:spacing w:before="120" w:after="80"/>
      </w:pPr>
      <w:r>
        <w:rPr>
          <w:b w:val="0"/>
          <w:i w:val="0"/>
          <w:sz w:val="21"/>
        </w:rPr>
        <w:t>Don't open the laptop first. Open with their problem. Ask:</w:t>
      </w:r>
    </w:p>
    <w:p>
      <w:pPr>
        <w:spacing w:before="200" w:after="40"/>
      </w:pPr>
      <w:r>
        <w:rPr>
          <w:b/>
          <w:i w:val="0"/>
          <w:color w:val="B91C1C"/>
          <w:sz w:val="16"/>
        </w:rPr>
        <w:t xml:space="preserve">PAIN POINT  </w:t>
      </w:r>
      <w:r>
        <w:rPr>
          <w:b w:val="0"/>
          <w:i/>
          <w:color w:val="B91C1C"/>
          <w:sz w:val="20"/>
        </w:rPr>
        <w:t>Counsellors are reactive — their time gets consumed by whoever asks loudest, not whoever needs them most.</w:t>
      </w:r>
    </w:p>
    <w:p>
      <w:pPr>
        <w:spacing w:before="40" w:after="60"/>
      </w:pPr>
      <w:r>
        <w:rPr>
          <w:b/>
          <w:i w:val="0"/>
          <w:color w:val="7C3AED"/>
          <w:sz w:val="20"/>
        </w:rPr>
        <w:t xml:space="preserve">▸  </w:t>
      </w:r>
      <w:r>
        <w:rPr>
          <w:b/>
          <w:i w:val="0"/>
          <w:sz w:val="20"/>
        </w:rPr>
        <w:t>Ask: "What's the most repetitive part of the application cycle for you right now?"</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"Before I show you anything — what's taking the most time and giving back the least? I want to make sure what I show you is actually relevant to your situation."</w:t>
            </w:r>
          </w:p>
        </w:tc>
      </w:tr>
    </w:tbl>
    <w:p>
      <w:pPr>
        <w:spacing w:before="0" w:after="40"/>
      </w:pPr>
    </w:p>
    <w:p>
      <w:pPr>
        <w:spacing w:before="40" w:after="60"/>
      </w:pPr>
      <w:r>
        <w:rPr>
          <w:b/>
          <w:i w:val="0"/>
          <w:color w:val="6B7280"/>
          <w:sz w:val="20"/>
        </w:rPr>
        <w:t xml:space="preserve">↳  </w:t>
      </w:r>
      <w:r>
        <w:rPr>
          <w:b w:val="0"/>
          <w:i/>
          <w:color w:val="6B7280"/>
          <w:sz w:val="20"/>
        </w:rPr>
        <w:t>Let them answer in full. Their answer is your anchor. When you show a feature, connect it back to exactly what they just said.</w:t>
      </w:r>
    </w:p>
    <w:p>
      <w:pPr>
        <w:spacing w:before="160" w:after="60"/>
      </w:pPr>
      <w:r>
        <w:rPr>
          <w:b w:val="0"/>
          <w:i w:val="0"/>
          <w:sz w:val="21"/>
        </w:rPr>
        <w:t>Then frame the session:</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pPr>
            <w:r>
              <w:rPr>
                <w:b/>
                <w:i w:val="0"/>
                <w:color w:val="7C3AED"/>
                <w:sz w:val="17"/>
              </w:rPr>
              <w:t xml:space="preserve">SAY:  </w:t>
            </w:r>
            <w:r>
              <w:rPr>
                <w:b w:val="0"/>
                <w:i/>
                <w:color w:val="2D1B69"/>
                <w:sz w:val="21"/>
              </w:rPr>
              <w:t>"Two sides — a student platform and a counsellor platform. I'll show the student side briefly because everything on your side flows from what students do. About fifteen minutes, then I want your honest reaction. Jump in any time."</w:t>
            </w:r>
          </w:p>
        </w:tc>
      </w:tr>
    </w:tbl>
    <w:p/>
    <w:p>
      <w:pPr>
        <w:spacing w:before="360" w:after="100"/>
        <w:pBdr>
          <w:bottom w:val="single" w:sz="4" w:space="4" w:color="7c3aed"/>
        </w:pBdr>
      </w:pPr>
      <w:r>
        <w:rPr>
          <w:b/>
          <w:i w:val="0"/>
          <w:color w:val="2D1B69"/>
          <w:sz w:val="23"/>
        </w:rPr>
        <w:t>STUDENT SIDE — SHOW QUICKLY (5–6 MIN)</w:t>
      </w:r>
    </w:p>
    <w:p>
      <w:pPr>
        <w:spacing w:before="100" w:after="160"/>
      </w:pPr>
      <w:r>
        <w:rPr>
          <w:b w:val="0"/>
          <w:i w:val="0"/>
          <w:sz w:val="21"/>
        </w:rPr>
        <w:t>The goal here is not to explain features — it's to make them feel the counsellor value on the other side. Keep moving.</w:t>
      </w:r>
    </w:p>
    <w:p>
      <w:pPr>
        <w:spacing w:before="200" w:after="40"/>
      </w:pPr>
      <w:r>
        <w:rPr>
          <w:b/>
          <w:i w:val="0"/>
          <w:color w:val="B91C1C"/>
          <w:sz w:val="16"/>
        </w:rPr>
        <w:t xml:space="preserve">PAIN POINT  </w:t>
      </w:r>
      <w:r>
        <w:rPr>
          <w:b w:val="0"/>
          <w:i/>
          <w:color w:val="B91C1C"/>
          <w:sz w:val="20"/>
        </w:rPr>
        <w:t>Students make subject choices years before applying that quietly close degree options — and neither the student nor the counsellor realises until it's too late.</w:t>
      </w:r>
    </w:p>
    <w:p>
      <w:pPr>
        <w:spacing w:before="40" w:after="60"/>
      </w:pPr>
      <w:r>
        <w:rPr>
          <w:b/>
          <w:i w:val="0"/>
          <w:color w:val="7C3AED"/>
          <w:sz w:val="20"/>
        </w:rPr>
        <w:t xml:space="preserve">▸  </w:t>
      </w:r>
      <w:r>
        <w:rPr>
          <w:b/>
          <w:i w:val="0"/>
          <w:sz w:val="20"/>
        </w:rPr>
        <w:t>Click Profile (top nav). Show the Pathway status pill.</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"When a student fills in their profile — grades, subjects, what they want to study — the system immediately checks whether their current subject choices keep their options open. Roughly one in five students block themselves from degree options through choices made years earlier. This pill flags it before the exam window closes, while something can still be done."</w:t>
            </w:r>
          </w:p>
        </w:tc>
      </w:tr>
    </w:tbl>
    <w:p>
      <w:pPr>
        <w:spacing w:before="0" w:after="40"/>
      </w:pPr>
    </w:p>
    <w:p>
      <w:pPr>
        <w:spacing w:before="200" w:after="40"/>
      </w:pPr>
      <w:r>
        <w:rPr>
          <w:b/>
          <w:i w:val="0"/>
          <w:color w:val="B91C1C"/>
          <w:sz w:val="16"/>
        </w:rPr>
        <w:t xml:space="preserve">PAIN POINT  </w:t>
      </w:r>
      <w:r>
        <w:rPr>
          <w:b w:val="0"/>
          <w:i/>
          <w:color w:val="B91C1C"/>
          <w:sz w:val="20"/>
        </w:rPr>
        <w:t>Students waste hours across fragmented university websites and still don't have the information they need to make a confident decision.</w:t>
      </w:r>
    </w:p>
    <w:p>
      <w:pPr>
        <w:spacing w:before="40" w:after="60"/>
      </w:pPr>
      <w:r>
        <w:rPr>
          <w:b/>
          <w:i w:val="0"/>
          <w:color w:val="7C3AED"/>
          <w:sz w:val="20"/>
        </w:rPr>
        <w:t xml:space="preserve">▸  </w:t>
      </w:r>
      <w:r>
        <w:rPr>
          <w:b/>
          <w:i w:val="0"/>
          <w:sz w:val="20"/>
        </w:rPr>
        <w:t>Click Explore. Show Reach / Match / Safe cards. Click Cambridge CS. Scroll to campus life section.</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"The match isn't arbitrary — it runs their profile against real entry requirements and university characteristics. And when they click into a course, one page replaces thirty browser tabs. The section I'd draw your attention to: campus life, international student percentage, cost of living. A lot of your students are applying to places they've never visited. This is what helps them make a genuinely informed choice."</w:t>
            </w:r>
          </w:p>
        </w:tc>
      </w:tr>
    </w:tbl>
    <w:p>
      <w:pPr>
        <w:spacing w:before="0" w:after="40"/>
      </w:pPr>
    </w:p>
    <w:p>
      <w:pPr>
        <w:spacing w:before="200" w:after="40"/>
      </w:pPr>
      <w:r>
        <w:rPr>
          <w:b/>
          <w:i w:val="0"/>
          <w:color w:val="B91C1C"/>
          <w:sz w:val="16"/>
        </w:rPr>
        <w:t xml:space="preserve">PAIN POINT  </w:t>
      </w:r>
      <w:r>
        <w:rPr>
          <w:b w:val="0"/>
          <w:i/>
          <w:color w:val="B91C1C"/>
          <w:sz w:val="20"/>
        </w:rPr>
        <w:t>Students don't know what a strong personal statement looks like — and counsellors don't have time to review every draft.</w:t>
      </w:r>
    </w:p>
    <w:p>
      <w:pPr>
        <w:spacing w:before="40" w:after="60"/>
      </w:pPr>
      <w:r>
        <w:rPr>
          <w:b/>
          <w:i w:val="0"/>
          <w:color w:val="7C3AED"/>
          <w:sz w:val="20"/>
        </w:rPr>
        <w:t xml:space="preserve">▸  </w:t>
      </w:r>
      <w:r>
        <w:rPr>
          <w:b/>
          <w:i w:val="0"/>
          <w:sz w:val="20"/>
        </w:rPr>
        <w:t>Click Toolbox → Essay Workshop. Type: "Science has always been my way of making sense of the world." Click Get Feedback.</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"UCAS is 4,000 characters. Other portals are different. Students don't know what good looks like. This benchmarks their draft against the strongest essays from Oxford, Cambridge, Harvard — and gives them structured, actionable feedback. Not writing it for them. Giving them a standard to work toward, before it lands on your desk."</w:t>
            </w:r>
          </w:p>
        </w:tc>
      </w:tr>
    </w:tbl>
    <w:p>
      <w:pPr>
        <w:spacing w:before="0" w:after="40"/>
      </w:pPr>
    </w:p>
    <w:p>
      <w:pPr>
        <w:spacing w:before="200" w:after="40"/>
      </w:pPr>
      <w:r>
        <w:rPr>
          <w:b/>
          <w:i w:val="0"/>
          <w:color w:val="B91C1C"/>
          <w:sz w:val="16"/>
        </w:rPr>
        <w:t xml:space="preserve">PAIN POINT  </w:t>
      </w:r>
      <w:r>
        <w:rPr>
          <w:b w:val="0"/>
          <w:i/>
          <w:color w:val="B91C1C"/>
          <w:sz w:val="20"/>
        </w:rPr>
        <w:t>Students lose track of what needs doing across multiple applications on different portals with different deadlines.</w:t>
      </w:r>
    </w:p>
    <w:p>
      <w:pPr>
        <w:spacing w:before="40" w:after="60"/>
      </w:pPr>
      <w:r>
        <w:rPr>
          <w:b/>
          <w:i w:val="0"/>
          <w:color w:val="7C3AED"/>
          <w:sz w:val="20"/>
        </w:rPr>
        <w:t xml:space="preserve">▸  </w:t>
      </w:r>
      <w:r>
        <w:rPr>
          <w:b/>
          <w:i w:val="0"/>
          <w:sz w:val="20"/>
        </w:rPr>
        <w:t>Click Applications. Show the What's next priority board at the top.</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the student's central hub. The priority board at the top shows the three most urgent things across all their applications — they always know what to do today. Each application has its own task list so nothing falls through the cracks."</w:t>
            </w:r>
          </w:p>
        </w:tc>
      </w:tr>
    </w:tbl>
    <w:p>
      <w:pPr>
        <w:spacing w:before="0" w:after="40"/>
      </w:pPr>
    </w:p>
    <w:p>
      <w:pPr>
        <w:spacing w:before="160" w:after="60"/>
      </w:pPr>
      <w:r>
        <w:rPr>
          <w:b/>
          <w:i w:val="0"/>
          <w:sz w:val="21"/>
        </w:rPr>
        <w:t>Now pivot:</w:t>
      </w:r>
    </w:p>
    <w:p>
      <w:pPr>
        <w:spacing w:before="40" w:after="40"/>
        <w:ind w:left="170"/>
      </w:pPr>
      <w:r>
        <w:rPr>
          <w:b/>
          <w:i w:val="0"/>
          <w:color w:val="7C3AED"/>
          <w:sz w:val="20"/>
        </w:rPr>
        <w:t xml:space="preserve">▸  </w:t>
      </w:r>
      <w:r>
        <w:rPr>
          <w:b/>
          <w:i w:val="0"/>
          <w:sz w:val="20"/>
        </w:rPr>
        <w:t>Click the violet Need help pill next to Cambridge. Show the pre-filled modal. Click Send to counsellor. Then click Faculty view (top-right, violet).</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pPr>
            <w:r>
              <w:rPr>
                <w:b/>
                <w:i w:val="0"/>
                <w:color w:val="7C3AED"/>
                <w:sz w:val="17"/>
              </w:rPr>
              <w:t xml:space="preserve">SAY:  </w:t>
            </w:r>
            <w:r>
              <w:rPr>
                <w:b w:val="0"/>
                <w:i/>
                <w:color w:val="2D1B69"/>
                <w:sz w:val="21"/>
              </w:rPr>
              <w:t>"The platform knows what they're working on, what stage they're at — pre-fills a structured request. Rather than a blank email that tells you nothing, you get context. Let me flip over to your side."</w:t>
            </w:r>
          </w:p>
        </w:tc>
      </w:tr>
    </w:tbl>
    <w:p/>
    <w:p>
      <w:pPr>
        <w:spacing w:before="360" w:after="100"/>
        <w:pBdr>
          <w:bottom w:val="single" w:sz="4" w:space="4" w:color="7c3aed"/>
        </w:pBdr>
      </w:pPr>
      <w:r>
        <w:rPr>
          <w:b/>
          <w:i w:val="0"/>
          <w:color w:val="2D1B69"/>
          <w:sz w:val="23"/>
        </w:rPr>
        <w:t>COUNSELLOR SIDE — SLOW DOWN (10–12 MIN)</w:t>
      </w:r>
    </w:p>
    <w:p>
      <w:pPr>
        <w:spacing w:before="100" w:after="160"/>
      </w:pPr>
      <w:r>
        <w:rPr>
          <w:b w:val="0"/>
          <w:i w:val="0"/>
          <w:sz w:val="21"/>
        </w:rPr>
        <w:t>This is where the conversation should shift. Narrate less. Pause after each section and check if it's landing.</w:t>
      </w:r>
    </w:p>
    <w:p>
      <w:pPr>
        <w:spacing w:before="200" w:after="40"/>
      </w:pPr>
      <w:r>
        <w:rPr>
          <w:b/>
          <w:i w:val="0"/>
          <w:color w:val="B91C1C"/>
          <w:sz w:val="16"/>
        </w:rPr>
        <w:t xml:space="preserve">PAIN POINT  </w:t>
      </w:r>
      <w:r>
        <w:rPr>
          <w:b w:val="0"/>
          <w:i/>
          <w:color w:val="B91C1C"/>
          <w:sz w:val="20"/>
        </w:rPr>
        <w:t>Urgent student needs get missed because there's no single place that surfaces them — counsellors find out too late.</w:t>
      </w:r>
    </w:p>
    <w:p>
      <w:pPr>
        <w:spacing w:before="40" w:after="60"/>
      </w:pPr>
      <w:r>
        <w:rPr>
          <w:b/>
          <w:i w:val="0"/>
          <w:color w:val="7C3AED"/>
          <w:sz w:val="20"/>
        </w:rPr>
        <w:t xml:space="preserve">▸  </w:t>
      </w:r>
      <w:r>
        <w:rPr>
          <w:b/>
          <w:i w:val="0"/>
          <w:sz w:val="20"/>
        </w:rPr>
        <w:t>Don't click yet. Point out: bell with red 1 badge, Help requests widget with Greg's request at top. Then click bell → click row → drawer opens.</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your homepage. The notification from the student we just sent lives here — you don't need to check email or dig through a portal. Open the drawer and you have three things you can do without leaving the page: reply, leave a private note for yourself, or propose a meeting. Everything in one place."</w:t>
            </w:r>
          </w:p>
        </w:tc>
      </w:tr>
    </w:tbl>
    <w:p>
      <w:pPr>
        <w:spacing w:before="0" w:after="40"/>
      </w:pPr>
    </w:p>
    <w:p>
      <w:pPr>
        <w:spacing w:before="40" w:after="60"/>
      </w:pPr>
      <w:r>
        <w:rPr>
          <w:b/>
          <w:i w:val="0"/>
          <w:color w:val="6B7280"/>
          <w:sz w:val="20"/>
        </w:rPr>
        <w:t xml:space="preserve">↳  </w:t>
      </w:r>
      <w:r>
        <w:rPr>
          <w:b w:val="0"/>
          <w:i/>
          <w:color w:val="6B7280"/>
          <w:sz w:val="20"/>
        </w:rPr>
        <w:t>Click Notes tab. Type a note. Click Save. Click Meeting tab. Click Propose. Click Thread tab. Type a reply. Click Send. Close drawer.</w:t>
      </w:r>
    </w:p>
    <w:p>
      <w:pPr>
        <w:spacing w:before="200" w:after="40"/>
      </w:pPr>
      <w:r>
        <w:rPr>
          <w:b/>
          <w:i w:val="0"/>
          <w:color w:val="B91C1C"/>
          <w:sz w:val="16"/>
        </w:rPr>
        <w:t xml:space="preserve">PAIN POINT  </w:t>
      </w:r>
      <w:r>
        <w:rPr>
          <w:b w:val="0"/>
          <w:i/>
          <w:color w:val="B91C1C"/>
          <w:sz w:val="20"/>
        </w:rPr>
        <w:t>Counsellors spend too much time with students who ask the most, not the ones who need them most — quiet students fall through the cracks.</w:t>
      </w:r>
    </w:p>
    <w:p>
      <w:pPr>
        <w:spacing w:before="40" w:after="60"/>
      </w:pPr>
      <w:r>
        <w:rPr>
          <w:b/>
          <w:i w:val="0"/>
          <w:color w:val="7C3AED"/>
          <w:sz w:val="20"/>
        </w:rPr>
        <w:t xml:space="preserve">▸  </w:t>
      </w:r>
      <w:r>
        <w:rPr>
          <w:b/>
          <w:i w:val="0"/>
          <w:sz w:val="20"/>
        </w:rPr>
        <w:t>Pause on the at-risk panel below the help requests widget.</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the bit I'd ask you to look at carefully. The pattern we hear consistently: meetings stack up, the loudest students absorb the most time, and the students who genuinely need help often aren't the ones asking. They go invisible until it's too late. This surfaces them automatically — approaching deadlines, incomplete work, applications stalled. It's not about replacing your judgement. It's about making sure your judgement gets applied to the right students."</w:t>
            </w:r>
          </w:p>
        </w:tc>
      </w:tr>
    </w:tbl>
    <w:p>
      <w:pPr>
        <w:spacing w:before="0" w:after="40"/>
      </w:pPr>
    </w:p>
    <w:p>
      <w:pPr>
        <w:spacing w:before="200" w:after="40"/>
      </w:pPr>
      <w:r>
        <w:rPr>
          <w:b/>
          <w:i w:val="0"/>
          <w:color w:val="B91C1C"/>
          <w:sz w:val="16"/>
        </w:rPr>
        <w:t xml:space="preserve">PAIN POINT  </w:t>
      </w:r>
      <w:r>
        <w:rPr>
          <w:b w:val="0"/>
          <w:i/>
          <w:color w:val="B91C1C"/>
          <w:sz w:val="20"/>
        </w:rPr>
        <w:t>Document chasing — transcripts, references, personal statements — is one of the most time-consuming and repetitive parts of the cycle.</w:t>
      </w:r>
    </w:p>
    <w:p>
      <w:pPr>
        <w:spacing w:before="40" w:after="60"/>
      </w:pPr>
      <w:r>
        <w:rPr>
          <w:b/>
          <w:i w:val="0"/>
          <w:color w:val="7C3AED"/>
          <w:sz w:val="20"/>
        </w:rPr>
        <w:t xml:space="preserve">▸  </w:t>
      </w:r>
      <w:r>
        <w:rPr>
          <w:b/>
          <w:i w:val="0"/>
          <w:sz w:val="20"/>
        </w:rPr>
        <w:t>Click Documents (counsellor sub-nav). Click Overdue filter pill. Click Nudge teacher on Mohammed Al-Rashid's A-Level Transcript.</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"Document chasing normally means twenty separate email threads, a spreadsheet to track what's outstanding, chasing students who haven't replied to chase teachers who haven't replied. Here: overdue documents surface automatically. You nudge the right person — student, teacher, registrar — through the platform. Everything's logged, so you can see at a glance what's blocked instead of holding it all in your head."</w:t>
            </w:r>
          </w:p>
        </w:tc>
      </w:tr>
    </w:tbl>
    <w:p>
      <w:pPr>
        <w:spacing w:before="0" w:after="40"/>
      </w:pPr>
    </w:p>
    <w:p>
      <w:pPr>
        <w:spacing w:before="200" w:after="40"/>
      </w:pPr>
      <w:r>
        <w:rPr>
          <w:b/>
          <w:i w:val="0"/>
          <w:color w:val="B91C1C"/>
          <w:sz w:val="16"/>
        </w:rPr>
        <w:t xml:space="preserve">PAIN POINT  </w:t>
      </w:r>
      <w:r>
        <w:rPr>
          <w:b w:val="0"/>
          <w:i/>
          <w:color w:val="B91C1C"/>
          <w:sz w:val="20"/>
        </w:rPr>
        <w:t>1:1 time is the most valuable thing a counsellor gives a student — and the hardest to protect. Counsellors walk into meetings underprepared. When a student moves counsellors, the context is lost.</w:t>
      </w:r>
    </w:p>
    <w:p>
      <w:pPr>
        <w:spacing w:before="40" w:after="60"/>
      </w:pPr>
      <w:r>
        <w:rPr>
          <w:b/>
          <w:i w:val="0"/>
          <w:color w:val="7C3AED"/>
          <w:sz w:val="20"/>
        </w:rPr>
        <w:t xml:space="preserve">▸  </w:t>
      </w:r>
      <w:r>
        <w:rPr>
          <w:b/>
          <w:i w:val="0"/>
          <w:sz w:val="20"/>
        </w:rPr>
        <w:t>Click Students → click Aarav Sharma. Show header card (don't scroll). Click Notes tab. Click Timeline tab. SLOW DOWN HERE.</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what walking into a 1:1 looks like with Ascenda. Thirty seconds and you're fully briefed — who they are, where they're applying, what's outstanding, next deadline. The notes tab is yours: private, attached to the student, survives counsellor turnover. And the timeline — this is the thing other tools don't have. UCAS, Cialfo — they show you a snapshot. This shows you the journey. When a student's shortlist shifts after an open day, or they drop a subject, or a grade changes — it's all here. So when you sit down with them and ask why their list looks the way it does, you already know."</w:t>
            </w:r>
          </w:p>
        </w:tc>
      </w:tr>
    </w:tbl>
    <w:p>
      <w:pPr>
        <w:spacing w:before="0" w:after="40"/>
      </w:pPr>
    </w:p>
    <w:p>
      <w:pPr>
        <w:spacing w:before="200" w:after="40"/>
      </w:pPr>
      <w:r>
        <w:rPr>
          <w:b/>
          <w:i w:val="0"/>
          <w:color w:val="B91C1C"/>
          <w:sz w:val="16"/>
        </w:rPr>
        <w:t xml:space="preserve">PAIN POINT  </w:t>
      </w:r>
      <w:r>
        <w:rPr>
          <w:b w:val="0"/>
          <w:i/>
          <w:color w:val="B91C1C"/>
          <w:sz w:val="20"/>
        </w:rPr>
        <w:t>Leadership asks how this year's cohort compares to last year — and the answer lives in memory or a spreadsheet someone built manually.</w:t>
      </w:r>
    </w:p>
    <w:p>
      <w:pPr>
        <w:spacing w:before="40" w:after="60"/>
      </w:pPr>
      <w:r>
        <w:rPr>
          <w:b/>
          <w:i w:val="0"/>
          <w:color w:val="7C3AED"/>
          <w:sz w:val="20"/>
        </w:rPr>
        <w:t xml:space="preserve">▸  </w:t>
      </w:r>
      <w:r>
        <w:rPr>
          <w:b/>
          <w:i w:val="0"/>
          <w:sz w:val="20"/>
        </w:rPr>
        <w:t>Click Analytics (counsellor sub-nav). Show the widget grid. Click Download Report → Cancel print dialog.</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"Year-on-year comparisons, built automatically as students hear back. Downloadable. If a lot of your students are applying to the same field or country, the data tells you where to run a targeted workshop. When leadership asks how this year went, you have something other than a spreadsheet."</w:t>
            </w:r>
          </w:p>
        </w:tc>
      </w:tr>
    </w:tbl>
    <w:p>
      <w:pPr>
        <w:spacing w:before="0" w:after="40"/>
      </w:pPr>
    </w:p>
    <w:p>
      <w:pPr>
        <w:spacing w:before="40" w:after="60"/>
      </w:pPr>
      <w:r>
        <w:rPr>
          <w:b/>
          <w:i w:val="0"/>
          <w:color w:val="783500"/>
          <w:sz w:val="20"/>
        </w:rPr>
        <w:t xml:space="preserve">↳  </w:t>
      </w:r>
      <w:r>
        <w:rPr>
          <w:b w:val="0"/>
          <w:i/>
          <w:color w:val="783500"/>
          <w:sz w:val="20"/>
        </w:rPr>
        <w:t>If running over time, cut Analytics first — it's the easiest to explain in a follow-up email.</w:t>
      </w:r>
    </w:p>
    <w:p>
      <w:pPr>
        <w:spacing w:before="360" w:after="100"/>
        <w:pBdr>
          <w:bottom w:val="single" w:sz="4" w:space="4" w:color="7c3aed"/>
        </w:pBdr>
      </w:pPr>
      <w:r>
        <w:rPr>
          <w:b/>
          <w:i w:val="0"/>
          <w:color w:val="2D1B69"/>
          <w:sz w:val="23"/>
        </w:rPr>
        <w:t>CLOSING — HAND IT OVER (2 MIN)</w:t>
      </w:r>
    </w:p>
    <w:p>
      <w:pPr>
        <w:spacing w:before="120" w:after="80"/>
      </w:pPr>
      <w:r>
        <w:rPr>
          <w:b w:val="0"/>
          <w:i w:val="0"/>
          <w:sz w:val="21"/>
        </w:rPr>
        <w:t>Stop before they check out. The last thing they see should be the platform, not a slide. Then ask:</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pPr>
            <w:r>
              <w:rPr>
                <w:b/>
                <w:i w:val="0"/>
                <w:color w:val="7C3AED"/>
                <w:sz w:val="17"/>
              </w:rPr>
              <w:t xml:space="preserve">SAY:  </w:t>
            </w:r>
            <w:r>
              <w:rPr>
                <w:b w:val="0"/>
                <w:i/>
                <w:color w:val="2D1B69"/>
                <w:sz w:val="21"/>
              </w:rPr>
              <w:t>"That's the platform. We're at a stage where the most valuable thing is your honest reaction — what resonates, what doesn't, and what's missing for how you actually work."</w:t>
            </w:r>
          </w:p>
        </w:tc>
      </w:tr>
    </w:tbl>
    <w:p/>
    <w:p>
      <w:pPr>
        <w:spacing w:before="40" w:after="60"/>
      </w:pPr>
      <w:r>
        <w:rPr>
          <w:b/>
          <w:i w:val="0"/>
          <w:color w:val="6B7280"/>
          <w:sz w:val="20"/>
        </w:rPr>
        <w:t xml:space="preserve">↳  </w:t>
      </w:r>
      <w:r>
        <w:rPr>
          <w:b w:val="0"/>
          <w:i/>
          <w:color w:val="6B7280"/>
          <w:sz w:val="20"/>
        </w:rPr>
        <w:t>Stop talking. Let them go first. Don't fill the silence.</w:t>
      </w:r>
    </w:p>
    <w:p>
      <w:pPr>
        <w:spacing w:before="360" w:after="100"/>
        <w:pBdr>
          <w:bottom w:val="single" w:sz="4" w:space="4" w:color="7c3aed"/>
        </w:pBdr>
      </w:pPr>
      <w:r>
        <w:rPr>
          <w:b/>
          <w:i w:val="0"/>
          <w:color w:val="2D1B69"/>
          <w:sz w:val="23"/>
        </w:rPr>
        <w:t>FEEDBACK QUESTIONS TO ASK</w:t>
      </w:r>
    </w:p>
    <w:p>
      <w:pPr>
        <w:spacing w:before="100" w:after="120"/>
      </w:pPr>
      <w:r>
        <w:rPr>
          <w:b w:val="0"/>
          <w:i w:val="0"/>
          <w:sz w:val="20"/>
        </w:rPr>
        <w:t>Pick 3–4 depending on what came up. Don't ask them all — it becomes an interview. The notes column is for you to fill in during the call.</w:t>
      </w:r>
    </w:p>
    <w:tbl>
      <w:tblPr>
        <w:tblStyle w:val="TableGrid"/>
        <w:tblW w:type="auto" w:w="0"/>
        <w:tblLook w:firstColumn="1" w:firstRow="1" w:lastColumn="0" w:lastRow="0" w:noHBand="0" w:noVBand="1" w:val="04A0"/>
      </w:tblPr>
      <w:tblGrid>
        <w:gridCol w:w="4649"/>
        <w:gridCol w:w="4309"/>
      </w:tblGrid>
      <w:tr>
        <w:tc>
          <w:tcPr>
            <w:tcW w:type="dxa" w:w="4873"/>
            <w:shd w:val="clear" w:color="auto" w:fill="EDE9FE"/>
          </w:tcPr>
          <w:p>
            <w:r>
              <w:rPr>
                <w:b/>
                <w:i w:val="0"/>
                <w:color w:val="2D1B69"/>
                <w:sz w:val="18"/>
              </w:rPr>
              <w:t>Question to ask</w:t>
            </w:r>
          </w:p>
        </w:tc>
        <w:tc>
          <w:tcPr>
            <w:tcW w:type="dxa" w:w="4873"/>
            <w:shd w:val="clear" w:color="auto" w:fill="EDE9FE"/>
          </w:tcPr>
          <w:p>
            <w:r>
              <w:rPr>
                <w:b/>
                <w:i w:val="0"/>
                <w:color w:val="2D1B69"/>
                <w:sz w:val="18"/>
              </w:rPr>
              <w:t>Notes</w:t>
            </w:r>
          </w:p>
        </w:tc>
      </w:tr>
      <w:tr>
        <w:tc>
          <w:tcPr>
            <w:tcW w:type="dxa" w:w="4649"/>
          </w:tcPr>
          <w:p>
            <w:r>
              <w:rPr>
                <w:b/>
                <w:i w:val="0"/>
                <w:sz w:val="19"/>
              </w:rPr>
              <w:t>Which part would actually change how you work day-to-day?</w:t>
            </w:r>
          </w:p>
        </w:tc>
        <w:tc>
          <w:tcPr>
            <w:tcW w:type="dxa" w:w="4309"/>
          </w:tcPr>
          <w:p>
            <w:r>
              <w:rPr>
                <w:b w:val="0"/>
                <w:i w:val="0"/>
                <w:sz w:val="19"/>
              </w:rPr>
            </w:r>
          </w:p>
        </w:tc>
      </w:tr>
      <w:tr>
        <w:tc>
          <w:tcPr>
            <w:tcW w:type="dxa" w:w="4649"/>
          </w:tcPr>
          <w:p>
            <w:r>
              <w:rPr>
                <w:b/>
                <w:i w:val="0"/>
                <w:sz w:val="19"/>
              </w:rPr>
              <w:t>Is there anything here you'd be worried students wouldn't use?</w:t>
            </w:r>
          </w:p>
        </w:tc>
        <w:tc>
          <w:tcPr>
            <w:tcW w:type="dxa" w:w="4309"/>
          </w:tcPr>
          <w:p>
            <w:r>
              <w:rPr>
                <w:b w:val="0"/>
                <w:i w:val="0"/>
                <w:sz w:val="19"/>
              </w:rPr>
            </w:r>
          </w:p>
        </w:tc>
      </w:tr>
      <w:tr>
        <w:tc>
          <w:tcPr>
            <w:tcW w:type="dxa" w:w="4649"/>
          </w:tcPr>
          <w:p>
            <w:r>
              <w:rPr>
                <w:b/>
                <w:i w:val="0"/>
                <w:sz w:val="19"/>
              </w:rPr>
              <w:t>What's the biggest thing missing for your context?</w:t>
            </w:r>
          </w:p>
        </w:tc>
        <w:tc>
          <w:tcPr>
            <w:tcW w:type="dxa" w:w="4309"/>
          </w:tcPr>
          <w:p>
            <w:r>
              <w:rPr>
                <w:b w:val="0"/>
                <w:i w:val="0"/>
                <w:sz w:val="19"/>
              </w:rPr>
            </w:r>
          </w:p>
        </w:tc>
      </w:tr>
      <w:tr>
        <w:tc>
          <w:tcPr>
            <w:tcW w:type="dxa" w:w="4649"/>
          </w:tcPr>
          <w:p>
            <w:r>
              <w:rPr>
                <w:b/>
                <w:i w:val="0"/>
                <w:sz w:val="19"/>
              </w:rPr>
              <w:t>You mentioned [X] earlier — does what you saw change that at all?</w:t>
            </w:r>
          </w:p>
        </w:tc>
        <w:tc>
          <w:tcPr>
            <w:tcW w:type="dxa" w:w="4309"/>
          </w:tcPr>
          <w:p>
            <w:r>
              <w:rPr>
                <w:b w:val="0"/>
                <w:i w:val="0"/>
                <w:sz w:val="19"/>
              </w:rPr>
            </w:r>
          </w:p>
        </w:tc>
      </w:tr>
      <w:tr>
        <w:tc>
          <w:tcPr>
            <w:tcW w:type="dxa" w:w="4649"/>
          </w:tcPr>
          <w:p>
            <w:r>
              <w:rPr>
                <w:b/>
                <w:i w:val="0"/>
                <w:sz w:val="19"/>
              </w:rPr>
              <w:t>Would you want to see this before or after students have built their shortlist?</w:t>
            </w:r>
          </w:p>
        </w:tc>
        <w:tc>
          <w:tcPr>
            <w:tcW w:type="dxa" w:w="4309"/>
          </w:tcPr>
          <w:p>
            <w:r>
              <w:rPr>
                <w:b w:val="0"/>
                <w:i w:val="0"/>
                <w:sz w:val="19"/>
              </w:rPr>
            </w:r>
          </w:p>
        </w:tc>
      </w:tr>
      <w:tr>
        <w:tc>
          <w:tcPr>
            <w:tcW w:type="dxa" w:w="4649"/>
          </w:tcPr>
          <w:p>
            <w:r>
              <w:rPr>
                <w:b/>
                <w:i w:val="0"/>
                <w:sz w:val="19"/>
              </w:rPr>
              <w:t>What would you need to see to feel confident recommending this to a student?</w:t>
            </w:r>
          </w:p>
        </w:tc>
        <w:tc>
          <w:tcPr>
            <w:tcW w:type="dxa" w:w="4309"/>
          </w:tcPr>
          <w:p>
            <w:r>
              <w:rPr>
                <w:b w:val="0"/>
                <w:i w:val="0"/>
                <w:sz w:val="19"/>
              </w:rPr>
            </w:r>
          </w:p>
        </w:tc>
      </w:tr>
      <w:tr>
        <w:tc>
          <w:tcPr>
            <w:tcW w:type="dxa" w:w="4649"/>
          </w:tcPr>
          <w:p>
            <w:r>
              <w:rPr>
                <w:b/>
                <w:i w:val="0"/>
                <w:sz w:val="19"/>
              </w:rPr>
              <w:t>How does this compare to what you're using now for tracking applications?</w:t>
            </w:r>
          </w:p>
        </w:tc>
        <w:tc>
          <w:tcPr>
            <w:tcW w:type="dxa" w:w="4309"/>
          </w:tcPr>
          <w:p>
            <w:r>
              <w:rPr>
                <w:b w:val="0"/>
                <w:i w:val="0"/>
                <w:sz w:val="19"/>
              </w:rPr>
            </w:r>
          </w:p>
        </w:tc>
      </w:tr>
      <w:tr>
        <w:tc>
          <w:tcPr>
            <w:tcW w:type="dxa" w:w="4649"/>
          </w:tcPr>
          <w:p>
            <w:r>
              <w:rPr>
                <w:b/>
                <w:i w:val="0"/>
                <w:sz w:val="19"/>
              </w:rPr>
              <w:t>Who else at your school would need to be involved in a decision like this?</w:t>
            </w:r>
          </w:p>
        </w:tc>
        <w:tc>
          <w:tcPr>
            <w:tcW w:type="dxa" w:w="4309"/>
          </w:tcPr>
          <w:p>
            <w:r>
              <w:rPr>
                <w:b w:val="0"/>
                <w:i w:val="0"/>
                <w:sz w:val="19"/>
              </w:rPr>
            </w:r>
          </w:p>
        </w:tc>
      </w:tr>
    </w:tbl>
    <w:p>
      <w:pPr>
        <w:spacing w:before="0" w:after="200"/>
      </w:pPr>
    </w:p>
    <w:p>
      <w:pPr>
        <w:spacing w:before="360" w:after="100"/>
        <w:pBdr>
          <w:bottom w:val="single" w:sz="4" w:space="4" w:color="7c3aed"/>
        </w:pBdr>
      </w:pPr>
      <w:r>
        <w:rPr>
          <w:b/>
          <w:i w:val="0"/>
          <w:color w:val="2D1B69"/>
          <w:sz w:val="23"/>
        </w:rPr>
        <w:t>LIKELY OBJECTIONS</w:t>
      </w:r>
    </w:p>
    <w:tbl>
      <w:tblPr>
        <w:tblStyle w:val="TableGrid"/>
        <w:tblW w:type="auto" w:w="0"/>
        <w:tblLook w:firstColumn="1" w:firstRow="1" w:lastColumn="0" w:lastRow="0" w:noHBand="0" w:noVBand="1" w:val="04A0"/>
      </w:tblPr>
      <w:tblGrid>
        <w:gridCol w:w="4649"/>
        <w:gridCol w:w="4309"/>
      </w:tblGrid>
      <w:tr>
        <w:tc>
          <w:tcPr>
            <w:tcW w:type="dxa" w:w="4873"/>
            <w:shd w:val="clear" w:color="auto" w:fill="FEF2F2"/>
          </w:tcPr>
          <w:p>
            <w:r>
              <w:rPr>
                <w:b/>
                <w:i w:val="0"/>
                <w:color w:val="B91C1C"/>
                <w:sz w:val="18"/>
              </w:rPr>
              <w:t>They say…</w:t>
            </w:r>
          </w:p>
        </w:tc>
        <w:tc>
          <w:tcPr>
            <w:tcW w:type="dxa" w:w="4873"/>
            <w:shd w:val="clear" w:color="auto" w:fill="FEF2F2"/>
          </w:tcPr>
          <w:p>
            <w:r>
              <w:rPr>
                <w:b/>
                <w:i w:val="0"/>
                <w:color w:val="B91C1C"/>
                <w:sz w:val="18"/>
              </w:rPr>
              <w:t>You say…</w:t>
            </w:r>
          </w:p>
        </w:tc>
      </w:tr>
      <w:tr>
        <w:tc>
          <w:tcPr>
            <w:tcW w:type="dxa" w:w="4649"/>
          </w:tcPr>
          <w:p>
            <w:r>
              <w:rPr>
                <w:b/>
                <w:i w:val="0"/>
                <w:sz w:val="19"/>
              </w:rPr>
              <w:t>We already use Cialfo / Unifrog</w:t>
            </w:r>
          </w:p>
        </w:tc>
        <w:tc>
          <w:tcPr>
            <w:tcW w:type="dxa" w:w="4309"/>
          </w:tcPr>
          <w:p>
            <w:r>
              <w:rPr>
                <w:b w:val="0"/>
                <w:i w:val="0"/>
                <w:sz w:val="19"/>
              </w:rPr>
              <w:t>We're not trying to replace those — they track applications. What they don't have is the longitudinal view of the student: the Timeline, the prep for 1:1s, the at-risk surfacing. That's the gap we fill.</w:t>
            </w:r>
          </w:p>
        </w:tc>
      </w:tr>
      <w:tr>
        <w:tc>
          <w:tcPr>
            <w:tcW w:type="dxa" w:w="4649"/>
          </w:tcPr>
          <w:p>
            <w:r>
              <w:rPr>
                <w:b/>
                <w:i w:val="0"/>
                <w:sz w:val="19"/>
              </w:rPr>
              <w:t>Students won't keep it updated</w:t>
            </w:r>
          </w:p>
        </w:tc>
        <w:tc>
          <w:tcPr>
            <w:tcW w:type="dxa" w:w="4309"/>
          </w:tcPr>
          <w:p>
            <w:r>
              <w:rPr>
                <w:b w:val="0"/>
                <w:i w:val="0"/>
                <w:sz w:val="19"/>
              </w:rPr>
              <w:t>The student side is built so updates happen as part of normal use — the application tracker is their to-do list, not a separate admin task. Keeping it updated is using it.</w:t>
            </w:r>
          </w:p>
        </w:tc>
      </w:tr>
      <w:tr>
        <w:tc>
          <w:tcPr>
            <w:tcW w:type="dxa" w:w="4649"/>
          </w:tcPr>
          <w:p>
            <w:r>
              <w:rPr>
                <w:b/>
                <w:i w:val="0"/>
                <w:sz w:val="19"/>
              </w:rPr>
              <w:t>How accurate is the matching?</w:t>
            </w:r>
          </w:p>
        </w:tc>
        <w:tc>
          <w:tcPr>
            <w:tcW w:type="dxa" w:w="4309"/>
          </w:tcPr>
          <w:p>
            <w:r>
              <w:rPr>
                <w:b w:val="0"/>
                <w:i w:val="0"/>
                <w:sz w:val="19"/>
              </w:rPr>
              <w:t>It runs against real entry requirements and university data, and it's fully decomposable — the student sees exactly why a course ranked where it did. It's not a black box.</w:t>
            </w:r>
          </w:p>
        </w:tc>
      </w:tr>
      <w:tr>
        <w:tc>
          <w:tcPr>
            <w:tcW w:type="dxa" w:w="4649"/>
          </w:tcPr>
          <w:p>
            <w:r>
              <w:rPr>
                <w:b/>
                <w:i w:val="0"/>
                <w:sz w:val="19"/>
              </w:rPr>
              <w:t>What does it cost?</w:t>
            </w:r>
          </w:p>
        </w:tc>
        <w:tc>
          <w:tcPr>
            <w:tcW w:type="dxa" w:w="4309"/>
          </w:tcPr>
          <w:p>
            <w:r>
              <w:rPr>
                <w:b w:val="0"/>
                <w:i w:val="0"/>
                <w:sz w:val="19"/>
              </w:rPr>
              <w:t>We're in early access and working with schools on pricing. What's more useful right now is understanding whether this actually fits how you work — pricing follows from that conversation.</w:t>
            </w:r>
          </w:p>
        </w:tc>
      </w:tr>
      <w:tr>
        <w:tc>
          <w:tcPr>
            <w:tcW w:type="dxa" w:w="4649"/>
          </w:tcPr>
          <w:p>
            <w:r>
              <w:rPr>
                <w:b/>
                <w:i w:val="0"/>
                <w:sz w:val="19"/>
              </w:rPr>
              <w:t>We'd need IT sign-off / data compliance</w:t>
            </w:r>
          </w:p>
        </w:tc>
        <w:tc>
          <w:tcPr>
            <w:tcW w:type="dxa" w:w="4309"/>
          </w:tcPr>
          <w:p>
            <w:r>
              <w:rPr>
                <w:b w:val="0"/>
                <w:i w:val="0"/>
                <w:sz w:val="19"/>
              </w:rPr>
              <w:t>It's web-based, no install required. Data is stored securely and we can walk your IT team through the architecture. Happy to send the spec.</w:t>
            </w:r>
          </w:p>
        </w:tc>
      </w:tr>
      <w:tr>
        <w:tc>
          <w:tcPr>
            <w:tcW w:type="dxa" w:w="4649"/>
          </w:tcPr>
          <w:p>
            <w:r>
              <w:rPr>
                <w:b/>
                <w:i w:val="0"/>
                <w:sz w:val="19"/>
              </w:rPr>
              <w:t>We don't have time to onboard students onto another tool</w:t>
            </w:r>
          </w:p>
        </w:tc>
        <w:tc>
          <w:tcPr>
            <w:tcW w:type="dxa" w:w="4309"/>
          </w:tcPr>
          <w:p>
            <w:r>
              <w:rPr>
                <w:b w:val="0"/>
                <w:i w:val="0"/>
                <w:sz w:val="19"/>
              </w:rPr>
              <w:t>The student side is designed to be self-explanatory — profile takes ten minutes, the platform guides them from there. The counsellor side requires no student onboarding at all.</w:t>
            </w:r>
          </w:p>
        </w:tc>
      </w:tr>
    </w:tbl>
    <w:p>
      <w:pPr>
        <w:spacing w:before="0" w:after="200"/>
      </w:pPr>
    </w:p>
    <w:p>
      <w:pPr>
        <w:spacing w:before="360" w:after="100"/>
        <w:pBdr>
          <w:bottom w:val="single" w:sz="4" w:space="4" w:color="7c3aed"/>
        </w:pBdr>
      </w:pPr>
      <w:r>
        <w:rPr>
          <w:b/>
          <w:i w:val="0"/>
          <w:color w:val="2D1B69"/>
          <w:sz w:val="23"/>
        </w:rPr>
        <w:t>AFTER THE CALL — WITHIN 24 HOURS</w:t>
      </w:r>
    </w:p>
    <w:p>
      <w:pPr>
        <w:spacing w:before="80" w:after="40"/>
        <w:ind w:left="170"/>
      </w:pPr>
      <w:r>
        <w:rPr>
          <w:b/>
          <w:i w:val="0"/>
          <w:color w:val="7C3AED"/>
          <w:sz w:val="21"/>
        </w:rPr>
        <w:t xml:space="preserve">▸  Send a follow-up email  —  </w:t>
      </w:r>
      <w:r>
        <w:rPr>
          <w:b w:val="0"/>
          <w:i w:val="0"/>
          <w:sz w:val="21"/>
        </w:rPr>
        <w:t>Reference one specific thing they said that connected to what you showed. Generic follow-ups get ignored.</w:t>
      </w:r>
    </w:p>
    <w:p>
      <w:pPr>
        <w:spacing w:before="80" w:after="40"/>
        <w:ind w:left="170"/>
      </w:pPr>
      <w:r>
        <w:rPr>
          <w:b/>
          <w:i w:val="0"/>
          <w:color w:val="7C3AED"/>
          <w:sz w:val="21"/>
        </w:rPr>
        <w:t xml:space="preserve">▸  Log their feedback  —  </w:t>
      </w:r>
      <w:r>
        <w:rPr>
          <w:b w:val="0"/>
          <w:i w:val="0"/>
          <w:sz w:val="21"/>
        </w:rPr>
        <w:t>What resonated, what was missing, any objections raised. This feeds directly into what we build next.</w:t>
      </w:r>
    </w:p>
    <w:p>
      <w:pPr>
        <w:spacing w:before="80" w:after="40"/>
        <w:ind w:left="170"/>
      </w:pPr>
      <w:r>
        <w:rPr>
          <w:b/>
          <w:i w:val="0"/>
          <w:color w:val="7C3AED"/>
          <w:sz w:val="21"/>
        </w:rPr>
        <w:t xml:space="preserve">▸  Answer any open questions directly  —  </w:t>
      </w:r>
      <w:r>
        <w:rPr>
          <w:b w:val="0"/>
          <w:i w:val="0"/>
          <w:sz w:val="21"/>
        </w:rPr>
        <w:t>If they asked about integrations, pricing, or data compliance — send a direct answer, not a deck.</w:t>
      </w:r>
    </w:p>
    <w:p>
      <w:pPr>
        <w:spacing w:before="80" w:after="40"/>
        <w:ind w:left="170"/>
      </w:pPr>
      <w:r>
        <w:rPr>
          <w:b/>
          <w:i w:val="0"/>
          <w:color w:val="7C3AED"/>
          <w:sz w:val="21"/>
        </w:rPr>
        <w:t xml:space="preserve">▸  Share login details  —  </w:t>
      </w:r>
      <w:r>
        <w:rPr>
          <w:b w:val="0"/>
          <w:i w:val="0"/>
          <w:sz w:val="21"/>
        </w:rPr>
        <w:t>Include the URL and demo login so they can explore independently: greg@workiflow.com / AscendaDemo!2026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