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b/>
          <w:i w:val="0"/>
          <w:color w:val="2D1B69"/>
          <w:sz w:val="52"/>
        </w:rPr>
        <w:t>Ascenda</w:t>
      </w:r>
    </w:p>
    <w:p>
      <w:pPr>
        <w:spacing w:before="0" w:after="40"/>
      </w:pPr>
      <w:r>
        <w:rPr>
          <w:b/>
          <w:i w:val="0"/>
          <w:color w:val="7C3AED"/>
          <w:sz w:val="26"/>
        </w:rPr>
        <w:t>Student Presentation Guide</w:t>
      </w:r>
    </w:p>
    <w:p>
      <w:pPr>
        <w:spacing w:before="0" w:after="280"/>
      </w:pPr>
      <w:r>
        <w:rPr>
          <w:b w:val="0"/>
          <w:i w:val="0"/>
          <w:color w:val="6B7280"/>
          <w:sz w:val="19"/>
        </w:rPr>
        <w:t>1:1 buy-in  ·  ~15 min  ·  Feedback gathering</w:t>
      </w:r>
    </w:p>
    <w:p>
      <w:pPr>
        <w:spacing w:before="0" w:after="100"/>
        <w:pBdr>
          <w:bottom w:val="single" w:sz="4" w:space="4" w:color="7c3aed"/>
        </w:pBdr>
      </w:pPr>
      <w:r>
        <w:rPr>
          <w:b/>
          <w:i w:val="0"/>
          <w:color w:val="2D1B69"/>
          <w:sz w:val="23"/>
        </w:rPr>
        <w:t>WHAT THIS SESSION IS FOR</w:t>
      </w:r>
    </w:p>
    <w:p>
      <w:pPr>
        <w:spacing w:before="120" w:after="80"/>
      </w:pPr>
      <w:r>
        <w:rPr>
          <w:b w:val="0"/>
          <w:i w:val="0"/>
          <w:sz w:val="21"/>
        </w:rPr>
        <w:t>You're showing a student what the next year of their application process could look like — and then finding out where their real anxiety sits. Students don't want a product demo. They want to feel less overwhelmed.</w:t>
      </w:r>
    </w:p>
    <w:p>
      <w:pPr>
        <w:spacing w:before="0" w:after="80"/>
      </w:pPr>
      <w:r>
        <w:rPr>
          <w:b w:val="0"/>
          <w:i w:val="0"/>
          <w:sz w:val="21"/>
        </w:rPr>
        <w:t>Every feature you show should connect to a problem they've described. If you show something they didn't ask about, explain in one sentence why it matters for them specifically.</w:t>
      </w:r>
    </w:p>
    <w:p>
      <w:pPr>
        <w:spacing w:before="360" w:after="100"/>
        <w:pBdr>
          <w:bottom w:val="single" w:sz="4" w:space="4" w:color="7c3aed"/>
        </w:pBdr>
      </w:pPr>
      <w:r>
        <w:rPr>
          <w:b/>
          <w:i w:val="0"/>
          <w:color w:val="2D1B69"/>
          <w:sz w:val="23"/>
        </w:rPr>
        <w:t>BEFORE THE SESSION</w:t>
      </w:r>
    </w:p>
    <w:p>
      <w:pPr>
        <w:spacing w:before="100" w:after="100"/>
      </w:pPr>
      <w:r>
        <w:rPr>
          <w:b w:val="0"/>
          <w:i w:val="0"/>
          <w:sz w:val="21"/>
        </w:rPr>
        <w:t>Know these before you open the laptop:</w:t>
      </w:r>
    </w:p>
    <w:p>
      <w:pPr>
        <w:spacing w:before="60" w:after="20"/>
        <w:ind w:left="170"/>
      </w:pPr>
      <w:r>
        <w:rPr>
          <w:b/>
          <w:i w:val="0"/>
          <w:color w:val="7C3AED"/>
          <w:sz w:val="20"/>
        </w:rPr>
        <w:t xml:space="preserve">▸  </w:t>
      </w:r>
      <w:r>
        <w:rPr>
          <w:b/>
          <w:i w:val="0"/>
          <w:sz w:val="20"/>
        </w:rPr>
        <w:t xml:space="preserve">What year are they in?  </w:t>
      </w:r>
      <w:r>
        <w:rPr>
          <w:b w:val="0"/>
          <w:i w:val="0"/>
          <w:color w:val="6B7280"/>
          <w:sz w:val="20"/>
        </w:rPr>
        <w:t>Year 12 students care about building a list and understanding fit. Year 13 students care about deadlines, personal statement, and not dropping the ball.</w:t>
      </w:r>
    </w:p>
    <w:p>
      <w:pPr>
        <w:spacing w:before="60" w:after="20"/>
        <w:ind w:left="170"/>
      </w:pPr>
      <w:r>
        <w:rPr>
          <w:b/>
          <w:i w:val="0"/>
          <w:color w:val="7C3AED"/>
          <w:sz w:val="20"/>
        </w:rPr>
        <w:t xml:space="preserve">▸  </w:t>
      </w:r>
      <w:r>
        <w:rPr>
          <w:b/>
          <w:i w:val="0"/>
          <w:sz w:val="20"/>
        </w:rPr>
        <w:t xml:space="preserve">IB or A-Level?  </w:t>
      </w:r>
      <w:r>
        <w:rPr>
          <w:b w:val="0"/>
          <w:i w:val="0"/>
          <w:color w:val="6B7280"/>
          <w:sz w:val="20"/>
        </w:rPr>
        <w:t>Shapes which parts of the profile and matching feel relevant — IB students often have more subject flexibility concerns.</w:t>
      </w:r>
    </w:p>
    <w:p>
      <w:pPr>
        <w:spacing w:before="60" w:after="20"/>
        <w:ind w:left="170"/>
      </w:pPr>
      <w:r>
        <w:rPr>
          <w:b/>
          <w:i w:val="0"/>
          <w:color w:val="7C3AED"/>
          <w:sz w:val="20"/>
        </w:rPr>
        <w:t xml:space="preserve">▸  </w:t>
      </w:r>
      <w:r>
        <w:rPr>
          <w:b/>
          <w:i w:val="0"/>
          <w:sz w:val="20"/>
        </w:rPr>
        <w:t xml:space="preserve">Do they have a shortlist already?  </w:t>
      </w:r>
      <w:r>
        <w:rPr>
          <w:b w:val="0"/>
          <w:i w:val="0"/>
          <w:color w:val="6B7280"/>
          <w:sz w:val="20"/>
        </w:rPr>
        <w:t>If yes: the Timeline and match scores hit differently. If no: start with Explore and the Reach/Match/Safe framework.</w:t>
      </w:r>
    </w:p>
    <w:p>
      <w:pPr>
        <w:spacing w:before="60" w:after="20"/>
        <w:ind w:left="170"/>
      </w:pPr>
      <w:r>
        <w:rPr>
          <w:b/>
          <w:i w:val="0"/>
          <w:color w:val="7C3AED"/>
          <w:sz w:val="20"/>
        </w:rPr>
        <w:t xml:space="preserve">▸  </w:t>
      </w:r>
      <w:r>
        <w:rPr>
          <w:b/>
          <w:i w:val="0"/>
          <w:sz w:val="20"/>
        </w:rPr>
        <w:t xml:space="preserve">Are they international?  </w:t>
      </w:r>
      <w:r>
        <w:rPr>
          <w:b w:val="0"/>
          <w:i w:val="0"/>
          <w:color w:val="6B7280"/>
          <w:sz w:val="20"/>
        </w:rPr>
        <w:t>If yes: campus life section on the course page is critical. Lead with it explicitly.</w:t>
      </w:r>
    </w:p>
    <w:p>
      <w:pPr>
        <w:spacing w:before="60" w:after="20"/>
        <w:ind w:left="170"/>
      </w:pPr>
      <w:r>
        <w:rPr>
          <w:b/>
          <w:i w:val="0"/>
          <w:color w:val="7C3AED"/>
          <w:sz w:val="20"/>
        </w:rPr>
        <w:t xml:space="preserve">▸  </w:t>
      </w:r>
      <w:r>
        <w:rPr>
          <w:b/>
          <w:i w:val="0"/>
          <w:sz w:val="20"/>
        </w:rPr>
        <w:t xml:space="preserve">Have they started their personal statement?  </w:t>
      </w:r>
      <w:r>
        <w:rPr>
          <w:b w:val="0"/>
          <w:i w:val="0"/>
          <w:color w:val="6B7280"/>
          <w:sz w:val="20"/>
        </w:rPr>
        <w:t>If not: Essay Workshop is where the demo lands hardest. If yes: use it as a review tool, not a starting point.</w:t>
      </w:r>
    </w:p>
    <w:p>
      <w:pPr>
        <w:spacing w:before="160" w:after="60"/>
      </w:pPr>
      <w:r>
        <w:rPr>
          <w:b/>
          <w:i w:val="0"/>
          <w:sz w:val="20"/>
        </w:rPr>
        <w:t>Technical setup:</w:t>
      </w:r>
    </w:p>
    <w:p>
      <w:pPr>
        <w:spacing w:before="20" w:after="20"/>
        <w:ind w:left="170"/>
      </w:pPr>
      <w:r>
        <w:rPr>
          <w:b/>
          <w:i w:val="0"/>
          <w:color w:val="7C3AED"/>
          <w:sz w:val="20"/>
        </w:rPr>
        <w:t xml:space="preserve">▸  </w:t>
      </w:r>
      <w:r>
        <w:rPr>
          <w:b w:val="0"/>
          <w:i w:val="0"/>
          <w:sz w:val="20"/>
        </w:rPr>
        <w:t>Reset demo state so the platform starts clean — bell at zero.</w:t>
      </w:r>
    </w:p>
    <w:p>
      <w:pPr>
        <w:spacing w:before="20" w:after="20"/>
        <w:ind w:left="170"/>
      </w:pPr>
      <w:r>
        <w:rPr>
          <w:b/>
          <w:i w:val="0"/>
          <w:color w:val="7C3AED"/>
          <w:sz w:val="20"/>
        </w:rPr>
        <w:t xml:space="preserve">▸  </w:t>
      </w:r>
      <w:r>
        <w:rPr>
          <w:b w:val="0"/>
          <w:i w:val="0"/>
          <w:sz w:val="20"/>
        </w:rPr>
        <w:t>Platform open on /dashboard in a clean browser, zoomed in slightly (110%). Readability matters.</w:t>
      </w:r>
    </w:p>
    <w:p>
      <w:pPr>
        <w:spacing w:before="20" w:after="20"/>
        <w:ind w:left="170"/>
      </w:pPr>
      <w:r>
        <w:rPr>
          <w:b/>
          <w:i w:val="0"/>
          <w:color w:val="7C3AED"/>
          <w:sz w:val="20"/>
        </w:rPr>
        <w:t xml:space="preserve">▸  </w:t>
      </w:r>
      <w:r>
        <w:rPr>
          <w:b w:val="0"/>
          <w:i w:val="0"/>
          <w:sz w:val="20"/>
        </w:rPr>
        <w:t>If possible, have the demo profile's subject list reflect their subjects.</w:t>
      </w:r>
    </w:p>
    <w:p>
      <w:pPr>
        <w:spacing w:before="360" w:after="100"/>
        <w:pBdr>
          <w:bottom w:val="single" w:sz="4" w:space="4" w:color="7c3aed"/>
        </w:pBdr>
      </w:pPr>
      <w:r>
        <w:rPr>
          <w:b/>
          <w:i w:val="0"/>
          <w:color w:val="2D1B69"/>
          <w:sz w:val="23"/>
        </w:rPr>
        <w:t>OPENING — START WITH THEIR STRESS (2 MIN)</w:t>
      </w:r>
    </w:p>
    <w:p>
      <w:pPr>
        <w:spacing w:before="120" w:after="80"/>
      </w:pPr>
      <w:r>
        <w:rPr>
          <w:b w:val="0"/>
          <w:i w:val="0"/>
          <w:sz w:val="21"/>
        </w:rPr>
        <w:t>Don't open with the platform. Open with a question that makes them feel heard:</w:t>
      </w:r>
    </w:p>
    <w:p>
      <w:pPr>
        <w:spacing w:before="200" w:after="40"/>
      </w:pPr>
      <w:r>
        <w:rPr>
          <w:b/>
          <w:i w:val="0"/>
          <w:color w:val="B91C1C"/>
          <w:sz w:val="16"/>
        </w:rPr>
        <w:t xml:space="preserve">PAIN POINT  </w:t>
      </w:r>
      <w:r>
        <w:rPr>
          <w:b w:val="0"/>
          <w:i/>
          <w:color w:val="B91C1C"/>
          <w:sz w:val="20"/>
        </w:rPr>
        <w:t>Students are overwhelmed by the application process but can't always articulate what's actually stressing them — they need to be asked.</w:t>
      </w:r>
    </w:p>
    <w:p>
      <w:pPr>
        <w:spacing w:before="40" w:after="60"/>
      </w:pPr>
      <w:r>
        <w:rPr>
          <w:b/>
          <w:i w:val="0"/>
          <w:color w:val="7C3AED"/>
          <w:sz w:val="20"/>
        </w:rPr>
        <w:t xml:space="preserve">▸  </w:t>
      </w:r>
      <w:r>
        <w:rPr>
          <w:b/>
          <w:i w:val="0"/>
          <w:sz w:val="20"/>
        </w:rPr>
        <w:t>Ask one: "What part of applying feels most unclear?" / "How confident do you feel about your university list right now?" / "What's taking up the most mental space?"</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"I want to show you something a lot of students have found useful — not to do the work for you, but to make the whole thing feel less scattered. Takes about ten minutes. Tell me if anything doesn't make sense or seems off for your situation."</w:t>
            </w:r>
          </w:p>
        </w:tc>
      </w:tr>
    </w:tbl>
    <w:p>
      <w:pPr>
        <w:spacing w:before="0" w:after="40"/>
      </w:pPr>
    </w:p>
    <w:p>
      <w:pPr>
        <w:spacing w:before="40" w:after="60"/>
      </w:pPr>
      <w:r>
        <w:rPr>
          <w:b/>
          <w:i w:val="0"/>
          <w:color w:val="6B7280"/>
          <w:sz w:val="20"/>
        </w:rPr>
        <w:t xml:space="preserve">↳  </w:t>
      </w:r>
      <w:r>
        <w:rPr>
          <w:b w:val="0"/>
          <w:i/>
          <w:color w:val="6B7280"/>
          <w:sz w:val="20"/>
        </w:rPr>
        <w:t>Their answer tells you which sections to lean into. If they say 'I don't know what universities to apply to' → Explore. If they say 'I'm panicking about the personal statement' → Toolbox. If they say 'I have a list but I'm not sure it's right' → match scores + Timeline.</w:t>
      </w:r>
    </w:p>
    <w:p>
      <w:pPr>
        <w:spacing w:before="360" w:after="100"/>
        <w:pBdr>
          <w:bottom w:val="single" w:sz="4" w:space="4" w:color="7c3aed"/>
        </w:pBdr>
      </w:pPr>
      <w:r>
        <w:rPr>
          <w:b/>
          <w:i w:val="0"/>
          <w:color w:val="2D1B69"/>
          <w:sz w:val="23"/>
        </w:rPr>
        <w:t>PROFILE (1 MIN)</w:t>
      </w:r>
    </w:p>
    <w:p>
      <w:pPr>
        <w:spacing w:before="200" w:after="40"/>
      </w:pPr>
      <w:r>
        <w:rPr>
          <w:b/>
          <w:i w:val="0"/>
          <w:color w:val="B91C1C"/>
          <w:sz w:val="16"/>
        </w:rPr>
        <w:t xml:space="preserve">PAIN POINT  </w:t>
      </w:r>
      <w:r>
        <w:rPr>
          <w:b w:val="0"/>
          <w:i/>
          <w:color w:val="B91C1C"/>
          <w:sz w:val="20"/>
        </w:rPr>
        <w:t>Students don't realise their current subject choices might be quietly closing degree options — and by the time they do, it's often too late to change anything.</w:t>
      </w:r>
    </w:p>
    <w:p>
      <w:pPr>
        <w:spacing w:before="40" w:after="60"/>
      </w:pPr>
      <w:r>
        <w:rPr>
          <w:b/>
          <w:i w:val="0"/>
          <w:color w:val="7C3AED"/>
          <w:sz w:val="20"/>
        </w:rPr>
        <w:t xml:space="preserve">▸  </w:t>
      </w:r>
      <w:r>
        <w:rPr>
          <w:b/>
          <w:i w:val="0"/>
          <w:sz w:val="20"/>
        </w:rPr>
        <w:t>Click Profile (top nav). Show the filled-in profile. Point to the Pathway status pill.</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"This is what a student fills in when they join — predicted grades, subjects, what they want to study. The reason we ask for all of this upfront: subject choices made years before you apply can quietly close doors without you realising. Roughly one in five students block themselves from degree options through decisions made earlier in school. This pill tells you whether your current path keeps your options open — and if something's wrong, it flags it while you can still do something about it."</w:t>
            </w:r>
          </w:p>
        </w:tc>
      </w:tr>
    </w:tbl>
    <w:p>
      <w:pPr>
        <w:spacing w:before="0" w:after="40"/>
      </w:pPr>
    </w:p>
    <w:p>
      <w:pPr>
        <w:spacing w:before="40" w:after="60"/>
      </w:pPr>
      <w:r>
        <w:rPr>
          <w:b/>
          <w:i w:val="0"/>
          <w:color w:val="6B7280"/>
          <w:sz w:val="20"/>
        </w:rPr>
        <w:t xml:space="preserve">↳  </w:t>
      </w:r>
      <w:r>
        <w:rPr>
          <w:b w:val="0"/>
          <w:i/>
          <w:color w:val="6B7280"/>
          <w:sz w:val="20"/>
        </w:rPr>
        <w:t>If they mention a specific subject they're uncertain about, reference it: 'So if you were to drop [subject], this is exactly where you'd see that flagged.'</w:t>
      </w:r>
    </w:p>
    <w:p>
      <w:pPr>
        <w:spacing w:before="360" w:after="100"/>
        <w:pBdr>
          <w:bottom w:val="single" w:sz="4" w:space="4" w:color="7c3aed"/>
        </w:pBdr>
      </w:pPr>
      <w:r>
        <w:rPr>
          <w:b/>
          <w:i w:val="0"/>
          <w:color w:val="2D1B69"/>
          <w:sz w:val="23"/>
        </w:rPr>
        <w:t>EXPLORE (2–3 MIN)</w:t>
      </w:r>
    </w:p>
    <w:p>
      <w:pPr>
        <w:spacing w:before="200" w:after="40"/>
      </w:pPr>
      <w:r>
        <w:rPr>
          <w:b/>
          <w:i w:val="0"/>
          <w:color w:val="B91C1C"/>
          <w:sz w:val="16"/>
        </w:rPr>
        <w:t xml:space="preserve">PAIN POINT  </w:t>
      </w:r>
      <w:r>
        <w:rPr>
          <w:b w:val="0"/>
          <w:i/>
          <w:color w:val="B91C1C"/>
          <w:sz w:val="20"/>
        </w:rPr>
        <w:t>Students don't know where they genuinely stand with universities — they either aim too safe or overreach, and they're guessing based on surface information.</w:t>
      </w:r>
    </w:p>
    <w:p>
      <w:pPr>
        <w:spacing w:before="40" w:after="60"/>
      </w:pPr>
      <w:r>
        <w:rPr>
          <w:b/>
          <w:i w:val="0"/>
          <w:color w:val="7C3AED"/>
          <w:sz w:val="20"/>
        </w:rPr>
        <w:t xml:space="preserve">▸  </w:t>
      </w:r>
      <w:r>
        <w:rPr>
          <w:b/>
          <w:i w:val="0"/>
          <w:sz w:val="20"/>
        </w:rPr>
        <w:t>Click Explore. Show Reach / Match / Safe cards with fit scores.</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"This is what your shortlist looks like through Ascenda. The Reach / Match / Safe split — you've probably heard that framework before. What makes this different is that it's not a guess: your profile gets scored against each university's actual entry requirements. And the score is transparent — you can see exactly why a course ranked where it did. If you disagree with something, you can see what it would take to change it."</w:t>
            </w:r>
          </w:p>
        </w:tc>
      </w:tr>
    </w:tbl>
    <w:p>
      <w:pPr>
        <w:spacing w:before="0" w:after="40"/>
      </w:pPr>
    </w:p>
    <w:p>
      <w:pPr>
        <w:spacing w:before="200" w:after="40"/>
      </w:pPr>
      <w:r>
        <w:rPr>
          <w:b/>
          <w:i w:val="0"/>
          <w:color w:val="B91C1C"/>
          <w:sz w:val="16"/>
        </w:rPr>
        <w:t xml:space="preserve">PAIN POINT  </w:t>
      </w:r>
      <w:r>
        <w:rPr>
          <w:b w:val="0"/>
          <w:i/>
          <w:color w:val="B91C1C"/>
          <w:sz w:val="20"/>
        </w:rPr>
        <w:t>International students are making life decisions about places they've never been — university websites are thin and inconsistent, and there's no consolidated source for what life is actually like.</w:t>
      </w:r>
    </w:p>
    <w:p>
      <w:pPr>
        <w:spacing w:before="40" w:after="60"/>
      </w:pPr>
      <w:r>
        <w:rPr>
          <w:b/>
          <w:i w:val="0"/>
          <w:color w:val="7C3AED"/>
          <w:sz w:val="20"/>
        </w:rPr>
        <w:t xml:space="preserve">▸  </w:t>
      </w:r>
      <w:r>
        <w:rPr>
          <w:b/>
          <w:i w:val="0"/>
          <w:sz w:val="20"/>
        </w:rPr>
        <w:t>Click into Cambridge Computer Science (Reach section). Scroll to the campus and city life section.</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"When you click into a course, one page replaces thirty browser tabs. But the section I want to point out specifically — this one. If you're applying from outside the UK, it's genuinely hard to know what life is like at these places. International student percentage, cost of living, what the city is like, career prospects — all here. So when you're deciding between Manchester and Edinburgh, you're not making that call based on the university's own marketing."</w:t>
            </w:r>
          </w:p>
        </w:tc>
      </w:tr>
    </w:tbl>
    <w:p>
      <w:pPr>
        <w:spacing w:before="0" w:after="40"/>
      </w:pPr>
    </w:p>
    <w:p>
      <w:pPr>
        <w:spacing w:before="40" w:after="60"/>
      </w:pPr>
      <w:r>
        <w:rPr>
          <w:b/>
          <w:i w:val="0"/>
          <w:color w:val="6B7280"/>
          <w:sz w:val="20"/>
        </w:rPr>
        <w:t xml:space="preserve">↳  </w:t>
      </w:r>
      <w:r>
        <w:rPr>
          <w:b w:val="0"/>
          <w:i/>
          <w:color w:val="6B7280"/>
          <w:sz w:val="20"/>
        </w:rPr>
        <w:t>If they're a UK student, reframe: 'Even if you've been to these cities, this gives you a side-by-side comparison you can't easily get anywhere else.'</w:t>
      </w:r>
    </w:p>
    <w:p>
      <w:pPr>
        <w:spacing w:before="360" w:after="100"/>
        <w:pBdr>
          <w:bottom w:val="single" w:sz="4" w:space="4" w:color="7c3aed"/>
        </w:pBdr>
      </w:pPr>
      <w:r>
        <w:rPr>
          <w:b/>
          <w:i w:val="0"/>
          <w:color w:val="2D1B69"/>
          <w:sz w:val="23"/>
        </w:rPr>
        <w:t>TOOLBOX — ESSAY WORKSHOP (2 MIN)</w:t>
      </w:r>
    </w:p>
    <w:p>
      <w:pPr>
        <w:spacing w:before="200" w:after="40"/>
      </w:pPr>
      <w:r>
        <w:rPr>
          <w:b/>
          <w:i w:val="0"/>
          <w:color w:val="B91C1C"/>
          <w:sz w:val="16"/>
        </w:rPr>
        <w:t xml:space="preserve">PAIN POINT  </w:t>
      </w:r>
      <w:r>
        <w:rPr>
          <w:b w:val="0"/>
          <w:i/>
          <w:color w:val="B91C1C"/>
          <w:sz w:val="20"/>
        </w:rPr>
        <w:t>Students have no benchmark for what a strong personal statement looks like — and the feedback they get from schools is inconsistent and often too late.</w:t>
      </w:r>
    </w:p>
    <w:p>
      <w:pPr>
        <w:spacing w:before="40" w:after="60"/>
      </w:pPr>
      <w:r>
        <w:rPr>
          <w:b/>
          <w:i w:val="0"/>
          <w:color w:val="7C3AED"/>
          <w:sz w:val="20"/>
        </w:rPr>
        <w:t xml:space="preserve">▸  </w:t>
      </w:r>
      <w:r>
        <w:rPr>
          <w:b/>
          <w:i w:val="0"/>
          <w:sz w:val="20"/>
        </w:rPr>
        <w:t>Click Toolbox → Essay Workshop. Clear the textarea. Type: "Science has always been my way of making sense of the world." Click Get Feedback.</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"UCAS is 4,000 characters. Other portals are different lengths. And most students don't know what a strong personal statement actually looks like — the bar they're writing to is invisible. This benchmarks your draft against the strongest applications to Oxford, Cambridge, and Harvard. Not writing it for you — giving you immediate, structured feedback on what's working and what isn't, before it lands in front of a counsellor or an admissions office."</w:t>
            </w:r>
          </w:p>
        </w:tc>
      </w:tr>
    </w:tbl>
    <w:p>
      <w:pPr>
        <w:spacing w:before="0" w:after="40"/>
      </w:pPr>
    </w:p>
    <w:p>
      <w:pPr>
        <w:spacing w:before="40" w:after="60"/>
      </w:pPr>
      <w:r>
        <w:rPr>
          <w:b/>
          <w:i w:val="0"/>
          <w:color w:val="6B7280"/>
          <w:sz w:val="20"/>
        </w:rPr>
        <w:t xml:space="preserve">↳  </w:t>
      </w:r>
      <w:r>
        <w:rPr>
          <w:b w:val="0"/>
          <w:i/>
          <w:color w:val="6B7280"/>
          <w:sz w:val="20"/>
        </w:rPr>
        <w:t>If they haven't started: 'This is also useful before you write a word — the outline tool helps you build the structure from your profile.' If they've already written a draft: 'You can paste what you have in here right now.'</w:t>
      </w:r>
    </w:p>
    <w:p>
      <w:pPr>
        <w:spacing w:before="360" w:after="100"/>
        <w:pBdr>
          <w:bottom w:val="single" w:sz="4" w:space="4" w:color="7c3aed"/>
        </w:pBdr>
      </w:pPr>
      <w:r>
        <w:rPr>
          <w:b/>
          <w:i w:val="0"/>
          <w:color w:val="2D1B69"/>
          <w:sz w:val="23"/>
        </w:rPr>
        <w:t>APPLICATIONS (2 MIN)</w:t>
      </w:r>
    </w:p>
    <w:p>
      <w:pPr>
        <w:spacing w:before="200" w:after="40"/>
      </w:pPr>
      <w:r>
        <w:rPr>
          <w:b/>
          <w:i w:val="0"/>
          <w:color w:val="B91C1C"/>
          <w:sz w:val="16"/>
        </w:rPr>
        <w:t xml:space="preserve">PAIN POINT  </w:t>
      </w:r>
      <w:r>
        <w:rPr>
          <w:b w:val="0"/>
          <w:i/>
          <w:color w:val="B91C1C"/>
          <w:sz w:val="20"/>
        </w:rPr>
        <w:t>Managing multiple applications across different portals with different requirements and deadlines feels chaotic — students lose track of what's outstanding.</w:t>
      </w:r>
    </w:p>
    <w:p>
      <w:pPr>
        <w:spacing w:before="40" w:after="60"/>
      </w:pPr>
      <w:r>
        <w:rPr>
          <w:b/>
          <w:i w:val="0"/>
          <w:color w:val="7C3AED"/>
          <w:sz w:val="20"/>
        </w:rPr>
        <w:t xml:space="preserve">▸  </w:t>
      </w:r>
      <w:r>
        <w:rPr>
          <w:b/>
          <w:i w:val="0"/>
          <w:sz w:val="20"/>
        </w:rPr>
        <w:t>Click Applications. Show the What's next priority board at the top. Show one expanded application with its task list.</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"This is the central hub. Everything in one place — not scattered across UCAS, university portals, and a spreadsheet. The priority board at the top shows the three most urgent things across all your applications: what to work on today, weighted by deadline pressure and how important the application is. Each application has its own task list so nothing falls through. You always know what's next."</w:t>
            </w:r>
          </w:p>
        </w:tc>
      </w:tr>
    </w:tbl>
    <w:p>
      <w:pPr>
        <w:spacing w:before="0" w:after="40"/>
      </w:pPr>
    </w:p>
    <w:p>
      <w:pPr>
        <w:spacing w:before="200" w:after="40"/>
      </w:pPr>
      <w:r>
        <w:rPr>
          <w:b/>
          <w:i w:val="0"/>
          <w:color w:val="B91C1C"/>
          <w:sz w:val="16"/>
        </w:rPr>
        <w:t xml:space="preserve">PAIN POINT  </w:t>
      </w:r>
      <w:r>
        <w:rPr>
          <w:b w:val="0"/>
          <w:i/>
          <w:color w:val="B91C1C"/>
          <w:sz w:val="20"/>
        </w:rPr>
        <w:t>When a student gets stuck on something specific, reaching their counsellor is clunky — emails get buried, context is lost by the time a meeting happens.</w:t>
      </w:r>
    </w:p>
    <w:p>
      <w:pPr>
        <w:spacing w:before="40" w:after="60"/>
      </w:pPr>
      <w:r>
        <w:rPr>
          <w:b/>
          <w:i w:val="0"/>
          <w:color w:val="7C3AED"/>
          <w:sz w:val="20"/>
        </w:rPr>
        <w:t xml:space="preserve">▸  </w:t>
      </w:r>
      <w:r>
        <w:rPr>
          <w:b/>
          <w:i w:val="0"/>
          <w:sz w:val="20"/>
        </w:rPr>
        <w:t>Click the violet Need help pill on the Cambridge card.</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right="198"/>
            </w:pPr>
            <w:r>
              <w:rPr>
                <w:b/>
                <w:i w:val="0"/>
                <w:color w:val="7C3AED"/>
                <w:sz w:val="17"/>
              </w:rPr>
              <w:t xml:space="preserve">SAY:  </w:t>
            </w:r>
            <w:r>
              <w:rPr>
                <w:b w:val="0"/>
                <w:i/>
                <w:color w:val="2D1B69"/>
                <w:sz w:val="21"/>
              </w:rPr>
              <w:t>"If you get stuck — confused about requirements, not sure what to write, something's unclear — you click this. The platform already knows what you're working on and what stage you're at, so the request comes pre-filled with context. Your counsellor gets a structured message instead of a blank email. It's faster for you and more useful for them."</w:t>
            </w:r>
          </w:p>
        </w:tc>
      </w:tr>
    </w:tbl>
    <w:p>
      <w:pPr>
        <w:spacing w:before="0" w:after="40"/>
      </w:pPr>
    </w:p>
    <w:p>
      <w:pPr>
        <w:spacing w:before="360" w:after="100"/>
        <w:pBdr>
          <w:bottom w:val="single" w:sz="4" w:space="4" w:color="7c3aed"/>
        </w:pBdr>
      </w:pPr>
      <w:r>
        <w:rPr>
          <w:b/>
          <w:i w:val="0"/>
          <w:color w:val="2D1B69"/>
          <w:sz w:val="23"/>
        </w:rPr>
        <w:t>CLOSING — GET THEIR HONEST REACTION (3 MIN)</w:t>
      </w:r>
    </w:p>
    <w:p>
      <w:pPr>
        <w:spacing w:before="120" w:after="80"/>
      </w:pPr>
      <w:r>
        <w:rPr>
          <w:b w:val="0"/>
          <w:i w:val="0"/>
          <w:sz w:val="21"/>
        </w:rPr>
        <w:t>Stop before they switch off. Don't end on a feature — end on a question:</w:t>
      </w:r>
    </w:p>
    <w:tbl>
      <w:tblPr>
        <w:tblW w:type="auto" w:w="0"/>
        <w:tblLook w:firstColumn="1" w:firstRow="1" w:lastColumn="0" w:lastRow="0" w:noHBand="0" w:noVBand="1" w:val="04A0"/>
      </w:tblPr>
      <w:tblGrid>
        <w:gridCol w:w="9746"/>
      </w:tblGrid>
      <w:tr>
        <w:tc>
          <w:tcPr>
            <w:tcW w:type="dxa" w:w="9746"/>
            <w:shd w:val="clear" w:color="auto" w:fill="F5F3FF"/>
          </w:tcPr>
          <w:p>
            <w:pPr>
              <w:spacing w:before="140" w:after="140"/>
              <w:ind w:left="198"/>
            </w:pPr>
            <w:r>
              <w:rPr>
                <w:b/>
                <w:i w:val="0"/>
                <w:color w:val="7C3AED"/>
                <w:sz w:val="17"/>
              </w:rPr>
              <w:t xml:space="preserve">SAY:  </w:t>
            </w:r>
            <w:r>
              <w:rPr>
                <w:b w:val="0"/>
                <w:i/>
                <w:color w:val="2D1B69"/>
                <w:sz w:val="21"/>
              </w:rPr>
              <w:t>"That's the platform. I'd rather hear your honest reaction than keep showing you things — what connected, and what didn't?"</w:t>
            </w:r>
          </w:p>
        </w:tc>
      </w:tr>
    </w:tbl>
    <w:p/>
    <w:p>
      <w:pPr>
        <w:spacing w:before="40" w:after="60"/>
      </w:pPr>
      <w:r>
        <w:rPr>
          <w:b/>
          <w:i w:val="0"/>
          <w:color w:val="6B7280"/>
          <w:sz w:val="20"/>
        </w:rPr>
        <w:t xml:space="preserve">↳  </w:t>
      </w:r>
      <w:r>
        <w:rPr>
          <w:b w:val="0"/>
          <w:i/>
          <w:color w:val="6B7280"/>
          <w:sz w:val="20"/>
        </w:rPr>
        <w:t>Don't defend features they push back on. That's the feedback. Note it and ask why.</w:t>
      </w:r>
    </w:p>
    <w:p>
      <w:pPr>
        <w:spacing w:before="360" w:after="100"/>
        <w:pBdr>
          <w:bottom w:val="single" w:sz="4" w:space="4" w:color="7c3aed"/>
        </w:pBdr>
      </w:pPr>
      <w:r>
        <w:rPr>
          <w:b/>
          <w:i w:val="0"/>
          <w:color w:val="2D1B69"/>
          <w:sz w:val="23"/>
        </w:rPr>
        <w:t>FEEDBACK QUESTIONS TO ASK</w:t>
      </w:r>
    </w:p>
    <w:p>
      <w:pPr>
        <w:spacing w:before="100" w:after="120"/>
      </w:pPr>
      <w:r>
        <w:rPr>
          <w:b w:val="0"/>
          <w:i w:val="0"/>
          <w:sz w:val="20"/>
        </w:rPr>
        <w:t>Pick 2–3. Keep it conversational. The notes column is for you to fill in during the session.</w:t>
      </w:r>
    </w:p>
    <w:tbl>
      <w:tblPr>
        <w:tblStyle w:val="TableGrid"/>
        <w:tblW w:type="auto" w:w="0"/>
        <w:tblLook w:firstColumn="1" w:firstRow="1" w:lastColumn="0" w:lastRow="0" w:noHBand="0" w:noVBand="1" w:val="04A0"/>
      </w:tblPr>
      <w:tblGrid>
        <w:gridCol w:w="4649"/>
        <w:gridCol w:w="4309"/>
      </w:tblGrid>
      <w:tr>
        <w:tc>
          <w:tcPr>
            <w:tcW w:type="dxa" w:w="4873"/>
            <w:shd w:val="clear" w:color="auto" w:fill="EDE9FE"/>
          </w:tcPr>
          <w:p>
            <w:r>
              <w:rPr>
                <w:b/>
                <w:i w:val="0"/>
                <w:color w:val="2D1B69"/>
                <w:sz w:val="18"/>
              </w:rPr>
              <w:t>Question to ask</w:t>
            </w:r>
          </w:p>
        </w:tc>
        <w:tc>
          <w:tcPr>
            <w:tcW w:type="dxa" w:w="4873"/>
            <w:shd w:val="clear" w:color="auto" w:fill="EDE9FE"/>
          </w:tcPr>
          <w:p>
            <w:r>
              <w:rPr>
                <w:b/>
                <w:i w:val="0"/>
                <w:color w:val="2D1B69"/>
                <w:sz w:val="18"/>
              </w:rPr>
              <w:t>Notes</w:t>
            </w:r>
          </w:p>
        </w:tc>
      </w:tr>
      <w:tr>
        <w:tc>
          <w:tcPr>
            <w:tcW w:type="dxa" w:w="4649"/>
          </w:tcPr>
          <w:p>
            <w:r>
              <w:rPr>
                <w:b/>
                <w:i w:val="0"/>
                <w:sz w:val="19"/>
              </w:rPr>
              <w:t>Is there a part of the application process you'd actually use this for?</w:t>
            </w:r>
          </w:p>
        </w:tc>
        <w:tc>
          <w:tcPr>
            <w:tcW w:type="dxa" w:w="4309"/>
          </w:tcPr>
          <w:p>
            <w:r>
              <w:rPr>
                <w:b w:val="0"/>
                <w:i w:val="0"/>
                <w:sz w:val="19"/>
              </w:rPr>
            </w:r>
          </w:p>
        </w:tc>
      </w:tr>
      <w:tr>
        <w:tc>
          <w:tcPr>
            <w:tcW w:type="dxa" w:w="4649"/>
          </w:tcPr>
          <w:p>
            <w:r>
              <w:rPr>
                <w:b/>
                <w:i w:val="0"/>
                <w:sz w:val="19"/>
              </w:rPr>
              <w:t>What's missing for how you personally work?</w:t>
            </w:r>
          </w:p>
        </w:tc>
        <w:tc>
          <w:tcPr>
            <w:tcW w:type="dxa" w:w="4309"/>
          </w:tcPr>
          <w:p>
            <w:r>
              <w:rPr>
                <w:b w:val="0"/>
                <w:i w:val="0"/>
                <w:sz w:val="19"/>
              </w:rPr>
            </w:r>
          </w:p>
        </w:tc>
      </w:tr>
      <w:tr>
        <w:tc>
          <w:tcPr>
            <w:tcW w:type="dxa" w:w="4649"/>
          </w:tcPr>
          <w:p>
            <w:r>
              <w:rPr>
                <w:b/>
                <w:i w:val="0"/>
                <w:sz w:val="19"/>
              </w:rPr>
              <w:t>Does the match score feel useful, or does it feel like a black box?</w:t>
            </w:r>
          </w:p>
        </w:tc>
        <w:tc>
          <w:tcPr>
            <w:tcW w:type="dxa" w:w="4309"/>
          </w:tcPr>
          <w:p>
            <w:r>
              <w:rPr>
                <w:b w:val="0"/>
                <w:i w:val="0"/>
                <w:sz w:val="19"/>
              </w:rPr>
            </w:r>
          </w:p>
        </w:tc>
      </w:tr>
      <w:tr>
        <w:tc>
          <w:tcPr>
            <w:tcW w:type="dxa" w:w="4649"/>
          </w:tcPr>
          <w:p>
            <w:r>
              <w:rPr>
                <w:b/>
                <w:i w:val="0"/>
                <w:sz w:val="19"/>
              </w:rPr>
              <w:t>Would you use this alongside your counsellor or more on your own?</w:t>
            </w:r>
          </w:p>
        </w:tc>
        <w:tc>
          <w:tcPr>
            <w:tcW w:type="dxa" w:w="4309"/>
          </w:tcPr>
          <w:p>
            <w:r>
              <w:rPr>
                <w:b w:val="0"/>
                <w:i w:val="0"/>
                <w:sz w:val="19"/>
              </w:rPr>
            </w:r>
          </w:p>
        </w:tc>
      </w:tr>
      <w:tr>
        <w:tc>
          <w:tcPr>
            <w:tcW w:type="dxa" w:w="4649"/>
          </w:tcPr>
          <w:p>
            <w:r>
              <w:rPr>
                <w:b/>
                <w:i w:val="0"/>
                <w:sz w:val="19"/>
              </w:rPr>
              <w:t>Is there anything here that would make you feel less stressed?</w:t>
            </w:r>
          </w:p>
        </w:tc>
        <w:tc>
          <w:tcPr>
            <w:tcW w:type="dxa" w:w="4309"/>
          </w:tcPr>
          <w:p>
            <w:r>
              <w:rPr>
                <w:b w:val="0"/>
                <w:i w:val="0"/>
                <w:sz w:val="19"/>
              </w:rPr>
            </w:r>
          </w:p>
        </w:tc>
      </w:tr>
      <w:tr>
        <w:tc>
          <w:tcPr>
            <w:tcW w:type="dxa" w:w="4649"/>
          </w:tcPr>
          <w:p>
            <w:r>
              <w:rPr>
                <w:b/>
                <w:i w:val="0"/>
                <w:sz w:val="19"/>
              </w:rPr>
              <w:t>What would you show a friend if you were recommending this?</w:t>
            </w:r>
          </w:p>
        </w:tc>
        <w:tc>
          <w:tcPr>
            <w:tcW w:type="dxa" w:w="4309"/>
          </w:tcPr>
          <w:p>
            <w:r>
              <w:rPr>
                <w:b w:val="0"/>
                <w:i w:val="0"/>
                <w:sz w:val="19"/>
              </w:rPr>
            </w:r>
          </w:p>
        </w:tc>
      </w:tr>
      <w:tr>
        <w:tc>
          <w:tcPr>
            <w:tcW w:type="dxa" w:w="4649"/>
          </w:tcPr>
          <w:p>
            <w:r>
              <w:rPr>
                <w:b/>
                <w:i w:val="0"/>
                <w:sz w:val="19"/>
              </w:rPr>
              <w:t>Is the personal statement feedback the kind of thing you'd act on?</w:t>
            </w:r>
          </w:p>
        </w:tc>
        <w:tc>
          <w:tcPr>
            <w:tcW w:type="dxa" w:w="4309"/>
          </w:tcPr>
          <w:p>
            <w:r>
              <w:rPr>
                <w:b w:val="0"/>
                <w:i w:val="0"/>
                <w:sz w:val="19"/>
              </w:rPr>
            </w:r>
          </w:p>
        </w:tc>
      </w:tr>
      <w:tr>
        <w:tc>
          <w:tcPr>
            <w:tcW w:type="dxa" w:w="4649"/>
          </w:tcPr>
          <w:p>
            <w:r>
              <w:rPr>
                <w:b/>
                <w:i w:val="0"/>
                <w:sz w:val="19"/>
              </w:rPr>
              <w:t>What would need to be different for you to use this every week?</w:t>
            </w:r>
          </w:p>
        </w:tc>
        <w:tc>
          <w:tcPr>
            <w:tcW w:type="dxa" w:w="4309"/>
          </w:tcPr>
          <w:p>
            <w:r>
              <w:rPr>
                <w:b w:val="0"/>
                <w:i w:val="0"/>
                <w:sz w:val="19"/>
              </w:rPr>
            </w:r>
          </w:p>
        </w:tc>
      </w:tr>
    </w:tbl>
    <w:p>
      <w:pPr>
        <w:spacing w:before="0" w:after="200"/>
      </w:pPr>
    </w:p>
    <w:p>
      <w:pPr>
        <w:spacing w:before="360" w:after="100"/>
        <w:pBdr>
          <w:bottom w:val="single" w:sz="4" w:space="4" w:color="7c3aed"/>
        </w:pBdr>
      </w:pPr>
      <w:r>
        <w:rPr>
          <w:b/>
          <w:i w:val="0"/>
          <w:color w:val="2D1B69"/>
          <w:sz w:val="23"/>
        </w:rPr>
        <w:t>WHAT TO LISTEN FOR</w:t>
      </w:r>
    </w:p>
    <w:p>
      <w:pPr>
        <w:spacing w:before="100" w:after="120"/>
      </w:pPr>
      <w:r>
        <w:rPr>
          <w:b w:val="0"/>
          <w:i w:val="0"/>
          <w:sz w:val="20"/>
        </w:rPr>
        <w:t>These signals tell you whether the buy-in worked — and where the real friction is.</w:t>
      </w:r>
    </w:p>
    <w:tbl>
      <w:tblPr>
        <w:tblStyle w:val="TableGrid"/>
        <w:tblW w:type="auto" w:w="0"/>
        <w:tblLook w:firstColumn="1" w:firstRow="1" w:lastColumn="0" w:lastRow="0" w:noHBand="0" w:noVBand="1" w:val="04A0"/>
      </w:tblPr>
      <w:tblGrid>
        <w:gridCol w:w="4649"/>
        <w:gridCol w:w="4309"/>
      </w:tblGrid>
      <w:tr>
        <w:tc>
          <w:tcPr>
            <w:tcW w:type="dxa" w:w="4873"/>
            <w:shd w:val="clear" w:color="auto" w:fill="ECFDF5"/>
          </w:tcPr>
          <w:p>
            <w:r>
              <w:rPr>
                <w:b/>
                <w:i w:val="0"/>
                <w:color w:val="055A35"/>
                <w:sz w:val="18"/>
              </w:rPr>
              <w:t>They're bought in if they say…</w:t>
            </w:r>
          </w:p>
        </w:tc>
        <w:tc>
          <w:tcPr>
            <w:tcW w:type="dxa" w:w="4873"/>
            <w:shd w:val="clear" w:color="auto" w:fill="FEF2F2"/>
          </w:tcPr>
          <w:p>
            <w:r>
              <w:rPr>
                <w:b/>
                <w:i w:val="0"/>
                <w:color w:val="B91C1C"/>
                <w:sz w:val="18"/>
              </w:rPr>
              <w:t>Worth digging into if they say…</w:t>
            </w:r>
          </w:p>
        </w:tc>
      </w:tr>
      <w:tr>
        <w:tc>
          <w:tcPr>
            <w:tcW w:type="dxa" w:w="4649"/>
          </w:tcPr>
          <w:p>
            <w:r>
              <w:rPr>
                <w:b w:val="0"/>
                <w:i/>
                <w:sz w:val="19"/>
              </w:rPr>
              <w:t>"This would have helped me with…"</w:t>
            </w:r>
          </w:p>
        </w:tc>
        <w:tc>
          <w:tcPr>
            <w:tcW w:type="dxa" w:w="4309"/>
          </w:tcPr>
          <w:p>
            <w:r>
              <w:rPr>
                <w:b w:val="0"/>
                <w:i/>
                <w:sz w:val="19"/>
              </w:rPr>
              <w:t>"I don't really understand how the score works"</w:t>
            </w:r>
          </w:p>
        </w:tc>
      </w:tr>
      <w:tr>
        <w:tc>
          <w:tcPr>
            <w:tcW w:type="dxa" w:w="4649"/>
          </w:tcPr>
          <w:p>
            <w:r>
              <w:rPr>
                <w:b w:val="0"/>
                <w:i/>
                <w:sz w:val="19"/>
              </w:rPr>
              <w:t>"Can I actually sign up for this?"</w:t>
            </w:r>
          </w:p>
        </w:tc>
        <w:tc>
          <w:tcPr>
            <w:tcW w:type="dxa" w:w="4309"/>
          </w:tcPr>
          <w:p>
            <w:r>
              <w:rPr>
                <w:b w:val="0"/>
                <w:i/>
                <w:sz w:val="19"/>
              </w:rPr>
              <w:t>"My counsellor doesn't use anything like this"</w:t>
            </w:r>
          </w:p>
        </w:tc>
      </w:tr>
      <w:tr>
        <w:tc>
          <w:tcPr>
            <w:tcW w:type="dxa" w:w="4649"/>
          </w:tcPr>
          <w:p>
            <w:r>
              <w:rPr>
                <w:b w:val="0"/>
                <w:i/>
                <w:sz w:val="19"/>
              </w:rPr>
              <w:t>"I would have used this when I was doing [X]"</w:t>
            </w:r>
          </w:p>
        </w:tc>
        <w:tc>
          <w:tcPr>
            <w:tcW w:type="dxa" w:w="4309"/>
          </w:tcPr>
          <w:p>
            <w:r>
              <w:rPr>
                <w:b w:val="0"/>
                <w:i/>
                <w:sz w:val="19"/>
              </w:rPr>
              <w:t>"I already have a system that works for me"</w:t>
            </w:r>
          </w:p>
        </w:tc>
      </w:tr>
      <w:tr>
        <w:tc>
          <w:tcPr>
            <w:tcW w:type="dxa" w:w="4649"/>
          </w:tcPr>
          <w:p>
            <w:r>
              <w:rPr>
                <w:b w:val="0"/>
                <w:i/>
                <w:sz w:val="19"/>
              </w:rPr>
              <w:t>"The personal statement feedback looks really useful"</w:t>
            </w:r>
          </w:p>
        </w:tc>
        <w:tc>
          <w:tcPr>
            <w:tcW w:type="dxa" w:w="4309"/>
          </w:tcPr>
          <w:p>
            <w:r>
              <w:rPr>
                <w:b w:val="0"/>
                <w:i/>
                <w:sz w:val="19"/>
              </w:rPr>
              <w:t>"This feels like a lot to keep updated"</w:t>
            </w:r>
          </w:p>
        </w:tc>
      </w:tr>
    </w:tbl>
    <w:p>
      <w:pPr>
        <w:spacing w:before="0" w:after="200"/>
      </w:pPr>
    </w:p>
    <w:p>
      <w:pPr>
        <w:spacing w:before="360" w:after="100"/>
        <w:pBdr>
          <w:bottom w:val="single" w:sz="4" w:space="4" w:color="7c3aed"/>
        </w:pBdr>
      </w:pPr>
      <w:r>
        <w:rPr>
          <w:b/>
          <w:i w:val="0"/>
          <w:color w:val="2D1B69"/>
          <w:sz w:val="23"/>
        </w:rPr>
        <w:t>AFTER THE SESSION — WITHIN 24 HOURS</w:t>
      </w:r>
    </w:p>
    <w:p>
      <w:pPr>
        <w:spacing w:before="80" w:after="40"/>
        <w:ind w:left="170"/>
      </w:pPr>
      <w:r>
        <w:rPr>
          <w:b/>
          <w:i w:val="0"/>
          <w:color w:val="7C3AED"/>
          <w:sz w:val="21"/>
        </w:rPr>
        <w:t xml:space="preserve">▸  Share the platform URL and login  —  </w:t>
      </w:r>
      <w:r>
        <w:rPr>
          <w:b w:val="0"/>
          <w:i w:val="0"/>
          <w:sz w:val="21"/>
        </w:rPr>
        <w:t>Include: ascenda-ashy.vercel.app / greg@workiflow.com / AscendaDemo!2026. Students who can explore independently will.</w:t>
      </w:r>
    </w:p>
    <w:p>
      <w:pPr>
        <w:spacing w:before="80" w:after="40"/>
        <w:ind w:left="170"/>
      </w:pPr>
      <w:r>
        <w:rPr>
          <w:b/>
          <w:i w:val="0"/>
          <w:color w:val="7C3AED"/>
          <w:sz w:val="21"/>
        </w:rPr>
        <w:t xml:space="preserve">▸  Note what resonated  —  </w:t>
      </w:r>
      <w:r>
        <w:rPr>
          <w:b w:val="0"/>
          <w:i w:val="0"/>
          <w:sz w:val="21"/>
        </w:rPr>
        <w:t>Specifically: which part of the application process they said felt most overwhelming. This is the hook for the follow-up.</w:t>
      </w:r>
    </w:p>
    <w:p>
      <w:pPr>
        <w:spacing w:before="80" w:after="40"/>
        <w:ind w:left="170"/>
      </w:pPr>
      <w:r>
        <w:rPr>
          <w:b/>
          <w:i w:val="0"/>
          <w:color w:val="7C3AED"/>
          <w:sz w:val="21"/>
        </w:rPr>
        <w:t xml:space="preserve">▸  Answer open questions directly  —  </w:t>
      </w:r>
      <w:r>
        <w:rPr>
          <w:b w:val="0"/>
          <w:i w:val="0"/>
          <w:sz w:val="21"/>
        </w:rPr>
        <w:t>If they asked something you couldn't answer on the spot, follow up with the specific answer. Students remember this.</w:t>
      </w:r>
    </w:p>
    <w:p>
      <w:pPr>
        <w:spacing w:before="80" w:after="40"/>
        <w:ind w:left="170"/>
      </w:pPr>
      <w:r>
        <w:rPr>
          <w:b/>
          <w:i w:val="0"/>
          <w:color w:val="7C3AED"/>
          <w:sz w:val="21"/>
        </w:rPr>
        <w:t xml:space="preserve">▸  Reference something they said  —  </w:t>
      </w:r>
      <w:r>
        <w:rPr>
          <w:b w:val="0"/>
          <w:i w:val="0"/>
          <w:sz w:val="21"/>
        </w:rPr>
        <w:t>A follow-up that quotes their own words — 'You mentioned you were worried about X' — lands much better than a generic message.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