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273267"/>
          <w:sz w:val="52"/>
          <w:szCs w:val="52"/>
        </w:rPr>
        <w:t xml:space="preserve">ASCEND NOW</w:t>
      </w:r>
    </w:p>
    <w:p>
      <w:pPr>
        <w:spacing w:after="40"/>
      </w:pPr>
      <w:r>
        <w:rPr>
          <w:b/>
          <w:bCs/>
          <w:color w:val="4FAEE5"/>
          <w:sz w:val="30"/>
          <w:szCs w:val="30"/>
        </w:rPr>
        <w:t xml:space="preserve">Operations Data System</w:t>
      </w:r>
    </w:p>
    <w:p>
      <w:pPr>
        <w:pBdr>
          <w:bottom w:val="single" w:color="6E7F1F" w:sz="12"/>
        </w:pBdr>
        <w:spacing w:after="260"/>
      </w:pPr>
    </w:p>
    <w:p>
      <w:pPr>
        <w:spacing w:after="80"/>
      </w:pPr>
      <w:r>
        <w:rPr>
          <w:b/>
          <w:bCs/>
          <w:color w:val="1D2939"/>
          <w:sz w:val="40"/>
          <w:szCs w:val="40"/>
        </w:rPr>
        <w:t xml:space="preserve">Technical Analysis &amp; Gap Report</w:t>
      </w:r>
    </w:p>
    <w:p>
      <w:pPr>
        <w:spacing w:after="400"/>
      </w:pPr>
      <w:r>
        <w:rPr>
          <w:color w:val="667085"/>
          <w:sz w:val="24"/>
          <w:szCs w:val="24"/>
        </w:rPr>
        <w:t xml:space="preserve">Phase 1 &amp; Phase 2 — Code, Logic and Completion Audit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Dashboard completion &amp; risk analysis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Phase 1 (all criteria) + Phase 2 (interfaces &amp; workflows). Excludes the AI-generated progress-reports layer.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Prepared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21 July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Basis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Direct review of src/ (React 19 + TS), supabase/ (86 migrations, 19 edge functions), and db/docs verified-state documentation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Static code + schema audit; no runtime/pen-test performed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 Ascend Now dashboard is a mature, feature-rich system that is </w:t>
      </w:r>
      <w:r>
        <w:rPr>
          <w:b/>
          <w:bCs/>
          <w:color w:val="1D2939"/>
          <w:sz w:val="21"/>
          <w:szCs w:val="21"/>
        </w:rPr>
        <w:t xml:space="preserve">well beyond a Phase 1 minimum in breadth</w:t>
      </w:r>
      <w:r>
        <w:rPr>
          <w:color w:val="1D2939"/>
          <w:sz w:val="21"/>
          <w:szCs w:val="21"/>
        </w:rPr>
        <w:t xml:space="preserve"> — 46 database tables, four role portals (admin / teacher / performance coach / student), an enrollment-and-invoice workflow, coordinator (“Performance Coach”) logs, and a full homework subsystem. Measured strictly against the </w:t>
      </w:r>
      <w:r>
        <w:rPr>
          <w:b/>
          <w:bCs/>
          <w:color w:val="1D2939"/>
          <w:sz w:val="21"/>
          <w:szCs w:val="21"/>
        </w:rPr>
        <w:t xml:space="preserve">contractual acceptance criteria</w:t>
      </w:r>
      <w:r>
        <w:rPr>
          <w:color w:val="1D2939"/>
          <w:sz w:val="21"/>
          <w:szCs w:val="21"/>
        </w:rPr>
        <w:t xml:space="preserve">, however, the picture is more nuanced: Phase 1’s core data-flow criterion is genuinely met, but its verification, financial-accuracy and operational-safety criteria each carry a concrete, unmet gap. Much of Phase 2’s interface and workflow scope is already built ahead of its own sign-off gate.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This report audits the code and logic behind both phases (excluding the AI progress-reports layer, per instruction), documents every material gap and red flag with a file-level reference, and gives a prioritised route to a clean sign-off.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1.1 Phase 1 scorecard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620"/>
        <w:gridCol w:w="4400"/>
        <w:gridCol w:w="1500"/>
        <w:gridCol w:w="2840"/>
      </w:tblGrid>
      <w:tr>
        <w:trPr>
          <w:tblHeader/>
        </w:trPr>
        <w:tc>
          <w:tcPr>
            <w:tcW w:type="dxa" w:w="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1 criterion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One-line verdict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Session data flows form → LAH with zero manual copy-paste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MET</w:t>
          </w:r>
          <w:p/>
        </w:tc>
        <w:tc>
          <w:tcPr>
            <w:tcW w:type="dxa" w:w="28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Form → trigger → computed balance. Sound.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Field validation in place; error rate on test dataset demonstrably reduced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19"/>
              <w:szCs w:val="19"/>
            </w:rPr>
            <w:t xml:space="preserve">PARTIAL</w:t>
          </w:r>
          <w:p/>
        </w:tc>
        <w:tc>
          <w:tcPr>
            <w:tcW w:type="dxa" w:w="28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Validation exists; no test suite or dataset to prove reduction.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HR/Finance can generate accurate payment summaries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19"/>
              <w:szCs w:val="19"/>
            </w:rPr>
            <w:t xml:space="preserve">PARTIAL</w:t>
          </w:r>
          <w:p/>
        </w:tc>
        <w:tc>
          <w:tcPr>
            <w:tcW w:type="dxa" w:w="28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Hours &amp; no-show payouts only; no pay-rate/price exists.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Backup &amp; restore procedures documented and tested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42318"/>
              <w:sz w:val="19"/>
              <w:szCs w:val="19"/>
            </w:rPr>
            <w:t xml:space="preserve">NOT MET</w:t>
          </w:r>
          <w:p/>
        </w:tc>
        <w:tc>
          <w:tcPr>
            <w:tcW w:type="dxa" w:w="28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backup/restore doc exists at all.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1.2 Phase 2 scorecard (interfaces &amp; workflows; AI layer excluded)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4400"/>
        <w:gridCol w:w="1500"/>
        <w:gridCol w:w="3460"/>
      </w:tblGrid>
      <w:tr>
        <w:trPr>
          <w:tblHeader/>
        </w:trPr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2 deliverable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Build state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Student / parent-facing view (history, progress, milestones)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BUILT</w:t>
          </w:r>
          <w:p/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Live at /student/*. Progress is session history + package bars; no explicit “milestone” model.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Performance Coach dashboard (aggregated insights)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067647"/>
              <w:sz w:val="19"/>
              <w:szCs w:val="19"/>
            </w:rPr>
            <w:t xml:space="preserve">BUILT</w:t>
          </w:r>
          <w:p/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PC Assignment Report + Coordinator Logs. Aggregation has a scale caveat (see §5.2).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Review / improve the invoice input workflow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B54708"/>
              <w:sz w:val="19"/>
              <w:szCs w:val="19"/>
            </w:rPr>
            <w:t xml:space="preserve">PARTIAL</w:t>
          </w:r>
          <w:p/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Enrollment→invoice→proof flow is strong, but carries no price and has upload-hardening gaps.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AI insights layer (summaries, tips, risk flags)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r>
            <w:rPr>
              <w:b/>
              <w:bCs/>
              <w:color w:val="667085"/>
              <w:sz w:val="19"/>
              <w:szCs w:val="19"/>
            </w:rPr>
            <w:t xml:space="preserve">EXCLUDED</w:t>
          </w:r>
          <w:p/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Out of scope for this report, per instruction.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single" w:color="273267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73267" w:sz="24"/>
              <w:bottom w:val="none"/>
              <w:right w:val="none"/>
            </w:tcBorders>
            <w:shd w:fill="E7E9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73267"/>
                <w:sz w:val="21"/>
                <w:szCs w:val="21"/>
              </w:rPr>
              <w:t xml:space="preserve">The single most important finding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The dashboard’s </w:t>
            </w:r>
            <w:r>
              <w:rPr>
                <w:b/>
                <w:bCs/>
                <w:i/>
                <w:iCs/>
                <w:color w:val="1D2939"/>
                <w:sz w:val="21"/>
                <w:szCs w:val="21"/>
              </w:rPr>
              <w:t xml:space="preserve">features</w:t>
            </w:r>
            <w:r>
              <w:rPr>
                <w:color w:val="1D2939"/>
                <w:sz w:val="21"/>
                <w:szCs w:val="21"/>
              </w:rPr>
              <w:t xml:space="preserve"> are well ahead of Phase 1, but its </w:t>
            </w:r>
            <w:r>
              <w:rPr>
                <w:b/>
                <w:bCs/>
                <w:i/>
                <w:iCs/>
                <w:color w:val="1D2939"/>
                <w:sz w:val="21"/>
                <w:szCs w:val="21"/>
              </w:rPr>
              <w:t xml:space="preserve">provable guarantees</w:t>
            </w:r>
            <w:r>
              <w:rPr>
                <w:color w:val="1D2939"/>
                <w:sz w:val="21"/>
                <w:szCs w:val="21"/>
              </w:rPr>
              <w:t xml:space="preserve"> — a tested restore, a real money figure, and a measured error rate — are the three things a sign-off actually rests on, and those are exactly what is missing.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2. Scope, method &amp; system inventory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2.1 What was reviewed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Frontend: </w:t>
      </w:r>
      <w:r>
        <w:rPr>
          <w:color w:val="1D2939"/>
          <w:sz w:val="21"/>
          <w:szCs w:val="21"/>
        </w:rPr>
        <w:t xml:space="preserve">React 19 + TypeScript + Vite, ~40 hooks, shared component library, React Router v7 dynamic routes (src/).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Backend: </w:t>
      </w:r>
      <w:r>
        <w:rPr>
          <w:color w:val="1D2939"/>
          <w:sz w:val="21"/>
          <w:szCs w:val="21"/>
        </w:rPr>
        <w:t xml:space="preserve">Supabase Postgres 17 — 46 tables, RLS on all, 86 timestamped migrations, 19 Deno edge functions (supabase/).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Documentation: </w:t>
      </w:r>
      <w:r>
        <w:rPr>
          <w:color w:val="1D2939"/>
          <w:sz w:val="21"/>
          <w:szCs w:val="21"/>
        </w:rPr>
        <w:t xml:space="preserve">VERIFIED_DATABASE_STATE.md (regenerated from live introspection), HOURS_AND_REVENUE_LOGIC.md, README.md.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2.2 What is excluded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The AI-generated progress-reports layer</w:t>
      </w:r>
      <w:r>
        <w:rPr>
          <w:color w:val="1D2939"/>
          <w:sz w:val="21"/>
          <w:szCs w:val="21"/>
        </w:rPr>
        <w:t xml:space="preserve"> (Gemini-driven session summaries, progress tips, risk flags, next actions). Excluded per instruction. The homework-generator subsystem is only referenced where it affects shared infrastructure (storage buckets, email secrets).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Runtime, load and penetration testing</w:t>
      </w:r>
      <w:r>
        <w:rPr>
          <w:color w:val="1D2939"/>
          <w:sz w:val="21"/>
          <w:szCs w:val="21"/>
        </w:rPr>
        <w:t xml:space="preserve"> — this is a static code and schema audit. Findings marked “verify” need a live check.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2.3 Architecture at a glance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Data flow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Session-log form → session_logs INSERT → BEFORE trigger auto-links student_package_id → balances computed on read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Money model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None. No rate/price/currency column anywhere; “Revenue” = billable hours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Security boundary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Postgres RLS (real). Client ProtectedRoute / scoping props are UX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Account creation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Admin-created only; no public signup. Edge functions provision auth users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Edge functions over SMTP (secrets set outside the repo)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Tests</w:t>
            </w:r>
          </w:p>
        </w:tc>
        <w:tc>
          <w:tcPr>
            <w:tcW w:type="dxa" w:w="62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None — no test runner, no *.test.ts files, no test dataset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3. Phase 1 — detailed analysis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3.1 Criterion 1 — Zero manual copy-paste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Status: </w:t>
      </w:r>
      <w:r>
        <w:rPr>
          <w:b/>
          <w:bCs/>
          <w:color w:val="067647"/>
          <w:sz w:val="19"/>
          <w:szCs w:val="19"/>
        </w:rPr>
        <w:t xml:space="preserve">MET</w:t>
      </w:r>
      <w:r>
        <w:rPr>
          <w:color w:val="1D2939"/>
          <w:sz w:val="21"/>
          <w:szCs w:val="21"/>
        </w:rPr>
        <w:t xml:space="preserve">  — genuinely done and architecturally sound.</w:t>
      </w:r>
    </w:p>
    <w:p>
      <w:pPr>
        <w:pStyle w:val="Heading3"/>
        <w:spacing w:after="80" w:before="180"/>
      </w:pPr>
      <w:r>
        <w:rPr>
          <w:b/>
          <w:bCs/>
          <w:color w:val="4FAEE5"/>
          <w:sz w:val="22"/>
          <w:szCs w:val="22"/>
        </w:rPr>
        <w:t xml:space="preserve">How the flow works (verified in code)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D2939"/>
          <w:sz w:val="21"/>
          <w:szCs w:val="21"/>
        </w:rPr>
        <w:t xml:space="preserve">A teacher completes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SessionLogFormView.tsx</w:t>
      </w:r>
      <w:r>
        <w:rPr>
          <w:color w:val="1D2939"/>
          <w:sz w:val="21"/>
          <w:szCs w:val="21"/>
        </w:rPr>
        <w:t xml:space="preserve"> → a single INSERT into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session_logs</w:t>
      </w:r>
      <w:r>
        <w:rPr>
          <w:color w:val="1D2939"/>
          <w:sz w:val="21"/>
          <w:szCs w:val="21"/>
        </w:rPr>
        <w:t xml:space="preserve">. Teacher identity is auto-filled from the session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currentTeacher.id</w:t>
      </w:r>
      <w:r>
        <w:rPr>
          <w:color w:val="1D2939"/>
          <w:sz w:val="21"/>
          <w:szCs w:val="21"/>
        </w:rPr>
        <w:t xml:space="preserve">), never typed.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D2939"/>
          <w:sz w:val="21"/>
          <w:szCs w:val="21"/>
        </w:rPr>
        <w:t xml:space="preserve">A BEFORE INSERT/UPDATE/DELETE trigger,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handle_session_log_package_lock()</w:t>
      </w:r>
      <w:r>
        <w:rPr>
          <w:color w:val="1D2939"/>
          <w:sz w:val="21"/>
          <w:szCs w:val="21"/>
        </w:rPr>
        <w:t xml:space="preserve">, automatically stamps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session_logs.student_package_id</w:t>
      </w:r>
      <w:r>
        <w:rPr>
          <w:color w:val="1D2939"/>
          <w:sz w:val="21"/>
          <w:szCs w:val="21"/>
        </w:rPr>
        <w:t xml:space="preserve"> to the student’s currently-unlocked package for that course type. No human links the session to a package.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1D2939"/>
          <w:sz w:val="21"/>
          <w:szCs w:val="21"/>
        </w:rPr>
        <w:t xml:space="preserve">“Learner’s Actual Hours” (LAH) is </w:t>
      </w:r>
      <w:r>
        <w:rPr>
          <w:b/>
          <w:bCs/>
          <w:color w:val="1D2939"/>
          <w:sz w:val="21"/>
          <w:szCs w:val="21"/>
        </w:rPr>
        <w:t xml:space="preserve">not a data-entry surface</w:t>
      </w:r>
      <w:r>
        <w:rPr>
          <w:color w:val="1D2939"/>
          <w:sz w:val="21"/>
          <w:szCs w:val="21"/>
        </w:rPr>
        <w:t xml:space="preserve"> — it is a read-only computed view.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computeHoursUsed()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useStudentPackages.ts</w:t>
      </w:r>
      <w:r>
        <w:rPr>
          <w:color w:val="1D2939"/>
          <w:sz w:val="21"/>
          <w:szCs w:val="21"/>
        </w:rPr>
        <w:t xml:space="preserve">) sums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session_duration_hrs</w:t>
      </w:r>
      <w:r>
        <w:rPr>
          <w:color w:val="1D2939"/>
          <w:sz w:val="21"/>
          <w:szCs w:val="21"/>
        </w:rPr>
        <w:t xml:space="preserve"> across the student’s sessions at render time.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There is no intermediate spreadsheet, no re-keying, and no “copy the hours into the package” step. The criterion is met.</w:t>
      </w:r>
    </w:p>
    <w:tbl>
      <w:tblPr>
        <w:tblW w:type="dxa" w:w="9360"/>
        <w:tblBorders>
          <w:top w:val="none"/>
          <w:left w:val="single" w:color="B54708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54708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54708"/>
                <w:sz w:val="21"/>
                <w:szCs w:val="21"/>
              </w:rPr>
              <w:t xml:space="preserve">Caveat carried forward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The mechanism that makes this criterion pass — computing consumed hours on the client rather than storing them — is itself the single most important structural risk in the system. It does not break Criterion 1, but see §6.1.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3.2 Criterion 2 — Validation &amp; measurable error reduction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Status: </w:t>
      </w:r>
      <w:r>
        <w:rPr>
          <w:b/>
          <w:bCs/>
          <w:color w:val="B54708"/>
          <w:sz w:val="19"/>
          <w:szCs w:val="19"/>
        </w:rPr>
        <w:t xml:space="preserve">PARTIAL</w:t>
      </w:r>
      <w:r>
        <w:rPr>
          <w:color w:val="1D2939"/>
          <w:sz w:val="21"/>
          <w:szCs w:val="21"/>
        </w:rPr>
        <w:t xml:space="preserve">  — validation is present; “demonstrably reduced” cannot currently be shown.</w:t>
      </w:r>
    </w:p>
    <w:p>
      <w:pPr>
        <w:pStyle w:val="Heading3"/>
        <w:spacing w:after="80" w:before="180"/>
      </w:pPr>
      <w:r>
        <w:rPr>
          <w:b/>
          <w:bCs/>
          <w:color w:val="067647"/>
          <w:sz w:val="22"/>
          <w:szCs w:val="22"/>
        </w:rPr>
        <w:t xml:space="preserve">What exists (adequate)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Form guards in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handleSubmit</w:t>
      </w:r>
      <w:r>
        <w:rPr>
          <w:color w:val="1D2939"/>
          <w:sz w:val="21"/>
          <w:szCs w:val="21"/>
        </w:rPr>
        <w:t xml:space="preserve"> (approx. lines 577–603): student required for real sessions; student-or-name for demo lessons; Fathom link must match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^https:\/\/fathom\.video\/share\/[\w-]+$</w:t>
      </w:r>
      <w:r>
        <w:rPr>
          <w:color w:val="1D2939"/>
          <w:sz w:val="21"/>
          <w:szCs w:val="21"/>
        </w:rPr>
        <w:t xml:space="preserve">; a coach flag requires a comment; locked-month block.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DB CHECK constraints: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session_duration_hrs &gt;= 0</w:t>
      </w:r>
      <w:r>
        <w:rPr>
          <w:color w:val="1D2939"/>
          <w:sz w:val="21"/>
          <w:szCs w:val="21"/>
        </w:rPr>
        <w:t xml:space="preserve"> and must round to 0.25 (15-min) increments; single-row settings tables enforced by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CHECK (id = 1)</w:t>
      </w:r>
      <w:r>
        <w:rPr>
          <w:color w:val="1D2939"/>
          <w:sz w:val="21"/>
          <w:szCs w:val="21"/>
        </w:rPr>
        <w:t xml:space="preserve">; date columns store a real DATE, never split fields.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Structured foreign keys replaced free-text (student_id, subject_id, curriculum_id) — a whole class of typo error is designed out.</w:t>
      </w:r>
    </w:p>
    <w:p>
      <w:pPr>
        <w:pStyle w:val="Heading3"/>
        <w:spacing w:after="80" w:before="180"/>
      </w:pPr>
      <w:r>
        <w:rPr>
          <w:b/>
          <w:bCs/>
          <w:color w:val="B42318"/>
          <w:sz w:val="22"/>
          <w:szCs w:val="22"/>
        </w:rPr>
        <w:t xml:space="preserve">The gap (blocks a clean sign-off)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No automated test suite.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package.json</w:t>
      </w:r>
      <w:r>
        <w:rPr>
          <w:color w:val="1D2939"/>
          <w:sz w:val="21"/>
          <w:szCs w:val="21"/>
        </w:rPr>
        <w:t xml:space="preserve"> defines only dev / build / lint / preview — no test runner, and zero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*.test.ts(x)</w:t>
      </w:r>
      <w:r>
        <w:rPr>
          <w:color w:val="1D293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*.spec.ts</w:t>
      </w:r>
      <w:r>
        <w:rPr>
          <w:color w:val="1D2939"/>
          <w:sz w:val="21"/>
          <w:szCs w:val="21"/>
        </w:rPr>
        <w:t xml:space="preserve"> files exist.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No “test dataset” </w:t>
      </w:r>
      <w:r>
        <w:rPr>
          <w:color w:val="1D2939"/>
          <w:sz w:val="21"/>
          <w:szCs w:val="21"/>
        </w:rPr>
        <w:t xml:space="preserve">is referenced anywhere in the repository.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Therefore the clause “the error rate on the test dataset is demonstrably reduced” </w:t>
      </w:r>
      <w:r>
        <w:rPr>
          <w:b/>
          <w:bCs/>
          <w:color w:val="1D2939"/>
          <w:sz w:val="21"/>
          <w:szCs w:val="21"/>
        </w:rPr>
        <w:t xml:space="preserve">cannot be evidenced</w:t>
      </w:r>
      <w:r>
        <w:rPr>
          <w:color w:val="1D2939"/>
          <w:sz w:val="21"/>
          <w:szCs w:val="21"/>
        </w:rPr>
        <w:t xml:space="preserve"> — there is no baseline captured and nothing to measure against.</w:t>
      </w:r>
    </w:p>
    <w:tbl>
      <w:tblPr>
        <w:tblW w:type="dxa" w:w="9360"/>
        <w:tblBorders>
          <w:top w:val="none"/>
          <w:left w:val="single" w:color="4FAEE5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AEE5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AEE5"/>
                <w:sz w:val="21"/>
                <w:szCs w:val="21"/>
              </w:rPr>
              <w:t xml:space="preserve">Definition of done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A fixed sample dataset (the “test dataset” the criterion names), a documented before/after error count, and a minimal unit-test harness pinning the money-sensitive pure functions (</w:t>
            </w:r>
            <w:r>
              <w:rPr>
                <w:rFonts w:ascii="Consolas" w:cs="Consolas" w:eastAsia="Consolas" w:hAnsi="Consolas"/>
                <w:color w:val="273267"/>
                <w:sz w:val="19"/>
                <w:szCs w:val="19"/>
              </w:rPr>
              <w:t xml:space="preserve">computeHoursUsed</w:t>
            </w:r>
            <w:r>
              <w:rPr>
                <w:color w:val="1D2939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9"/>
                <w:szCs w:val="19"/>
              </w:rPr>
              <w:t xml:space="preserve">noShow.ts</w:t>
            </w:r>
            <w:r>
              <w:rPr>
                <w:color w:val="1D2939"/>
                <w:sz w:val="21"/>
                <w:szCs w:val="21"/>
              </w:rPr>
              <w:t xml:space="preserve"> predicates, </w:t>
            </w:r>
            <w:r>
              <w:rPr>
                <w:rFonts w:ascii="Consolas" w:cs="Consolas" w:eastAsia="Consolas" w:hAnsi="Consolas"/>
                <w:color w:val="273267"/>
                <w:sz w:val="19"/>
                <w:szCs w:val="19"/>
              </w:rPr>
              <w:t xml:space="preserve">teacherPeriodDetail</w:t>
            </w:r>
            <w:r>
              <w:rPr>
                <w:color w:val="1D2939"/>
                <w:sz w:val="21"/>
                <w:szCs w:val="21"/>
              </w:rPr>
              <w:t xml:space="preserve">, invoice aggregation).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3.3 Criterion 3 — HR / Finance payment summaries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Status: </w:t>
      </w:r>
      <w:r>
        <w:rPr>
          <w:b/>
          <w:bCs/>
          <w:color w:val="B54708"/>
          <w:sz w:val="19"/>
          <w:szCs w:val="19"/>
        </w:rPr>
        <w:t xml:space="preserve">PARTIAL</w:t>
      </w:r>
      <w:r>
        <w:rPr>
          <w:color w:val="1D2939"/>
          <w:sz w:val="21"/>
          <w:szCs w:val="21"/>
        </w:rPr>
        <w:t xml:space="preserve">  — a genuine financial-accuracy gap.</w:t>
      </w:r>
    </w:p>
    <w:p>
      <w:pPr>
        <w:pStyle w:val="Heading3"/>
        <w:spacing w:after="80" w:before="180"/>
      </w:pPr>
      <w:r>
        <w:rPr>
          <w:b/>
          <w:bCs/>
          <w:color w:val="067647"/>
          <w:sz w:val="22"/>
          <w:szCs w:val="22"/>
        </w:rPr>
        <w:t xml:space="preserve">What HR/Finance can obtain today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Per-teacher hours by month via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fetchTeacherPeriodDetail()</w:t>
      </w:r>
      <w:r>
        <w:rPr>
          <w:color w:val="1D2939"/>
          <w:sz w:val="21"/>
          <w:szCs w:val="21"/>
        </w:rPr>
        <w:t xml:space="preserve"> (Admin → Teacher’s Hours; teacher’s own “My Hours”).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Per-teacher no-show payout: payable no-show count × a single flat rate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no_show_settings.payout_amount</w:t>
      </w:r>
      <w:r>
        <w:rPr>
          <w:color w:val="1D2939"/>
          <w:sz w:val="21"/>
          <w:szCs w:val="21"/>
        </w:rPr>
        <w:t xml:space="preserve">, default 30 SGD), snapshotted onto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monthly_report_teacher_stats</w:t>
      </w:r>
      <w:r>
        <w:rPr>
          <w:color w:val="1D2939"/>
          <w:sz w:val="21"/>
          <w:szCs w:val="21"/>
        </w:rPr>
        <w:t xml:space="preserve"> when a report is locked.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Teacher-uploaded Zoom invoices for admin acknowledgement.</w:t>
      </w:r>
    </w:p>
    <w:p>
      <w:pPr>
        <w:pStyle w:val="Heading3"/>
        <w:spacing w:after="80" w:before="180"/>
      </w:pPr>
      <w:r>
        <w:rPr>
          <w:b/>
          <w:bCs/>
          <w:color w:val="B42318"/>
          <w:sz w:val="22"/>
          <w:szCs w:val="22"/>
        </w:rPr>
        <w:t xml:space="preserve">The gap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A schema-wide search for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hourly_rate | price | rate_per | salary | pay_rate | currency</w:t>
      </w:r>
      <w:r>
        <w:rPr>
          <w:color w:val="1D2939"/>
          <w:sz w:val="21"/>
          <w:szCs w:val="21"/>
        </w:rPr>
        <w:t xml:space="preserve"> returns </w:t>
      </w:r>
      <w:r>
        <w:rPr>
          <w:b/>
          <w:bCs/>
          <w:color w:val="1D2939"/>
          <w:sz w:val="21"/>
          <w:szCs w:val="21"/>
        </w:rPr>
        <w:t xml:space="preserve">nothing</w:t>
      </w:r>
      <w:r>
        <w:rPr>
          <w:color w:val="1D2939"/>
          <w:sz w:val="21"/>
          <w:szCs w:val="21"/>
        </w:rPr>
        <w:t xml:space="preserve">. Confirmed by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HOURS_AND_REVENUE_LOGIC.md</w:t>
      </w:r>
      <w:r>
        <w:rPr>
          <w:color w:val="1D2939"/>
          <w:sz w:val="21"/>
          <w:szCs w:val="21"/>
        </w:rPr>
        <w:t xml:space="preserve">: “there is no dollar-rate or price-per-hour computation anywhere in this codebase … ‘Revenue’ here means … billable hours.”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 only actual currency figure the system can produce is the flat no-show payout. </w:t>
      </w:r>
      <w:r>
        <w:rPr>
          <w:b/>
          <w:bCs/>
          <w:color w:val="1D2939"/>
          <w:sz w:val="21"/>
          <w:szCs w:val="21"/>
        </w:rPr>
        <w:t xml:space="preserve">Taught hours cannot be converted into a payment amount</w:t>
      </w:r>
      <w:r>
        <w:rPr>
          <w:color w:val="1D2939"/>
          <w:sz w:val="21"/>
          <w:szCs w:val="21"/>
        </w:rPr>
        <w:t xml:space="preserve"> because no per-hour teaching rate exists (global, per-teacher, or per-subject).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 admin “Monthly Revenue” tab and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buildMonthlyRevenuePdf</w:t>
      </w:r>
      <w:r>
        <w:rPr>
          <w:color w:val="1D2939"/>
          <w:sz w:val="21"/>
          <w:szCs w:val="21"/>
        </w:rPr>
        <w:t xml:space="preserve"> are named “revenue” but output </w:t>
      </w:r>
      <w:r>
        <w:rPr>
          <w:b/>
          <w:bCs/>
          <w:color w:val="1D2939"/>
          <w:sz w:val="21"/>
          <w:szCs w:val="21"/>
        </w:rPr>
        <w:t xml:space="preserve">hours, not money</w:t>
      </w:r>
      <w:r>
        <w:rPr>
          <w:color w:val="1D2939"/>
          <w:sz w:val="21"/>
          <w:szCs w:val="21"/>
        </w:rPr>
        <w:t xml:space="preserve"> — a naming trap that will mislead a Finance user.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 enrollment invoice emailed to families lists packages/hours only, with no price (a known item in README §5).</w:t>
      </w:r>
    </w:p>
    <w:tbl>
      <w:tblPr>
        <w:tblW w:type="dxa" w:w="9360"/>
        <w:tblBorders>
          <w:top w:val="none"/>
          <w:left w:val="single" w:color="4FAEE5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AEE5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AEE5"/>
                <w:sz w:val="21"/>
                <w:szCs w:val="21"/>
              </w:rPr>
              <w:t xml:space="preserve">Definition of done</w:t>
            </w:r>
          </w:p>
          <w:p>
            <w:pPr>
              <w:spacing w:after="0" w:line="276"/>
            </w:pPr>
            <w:r>
              <w:rPr>
                <w:color w:val="1D2939"/>
                <w:sz w:val="21"/>
                <w:szCs w:val="21"/>
              </w:rPr>
              <w:t xml:space="preserve">A rate model — at minimum a single global SGD/hour constant in a settings table (mirroring the </w:t>
            </w:r>
            <w:r>
              <w:rPr>
                <w:rFonts w:ascii="Consolas" w:cs="Consolas" w:eastAsia="Consolas" w:hAnsi="Consolas"/>
                <w:color w:val="273267"/>
                <w:sz w:val="19"/>
                <w:szCs w:val="19"/>
              </w:rPr>
              <w:t xml:space="preserve">no_show_settings</w:t>
            </w:r>
            <w:r>
              <w:rPr>
                <w:color w:val="1D2939"/>
                <w:sz w:val="21"/>
                <w:szCs w:val="21"/>
              </w:rPr>
              <w:t xml:space="preserve"> pattern) — plus a rename of “Monthly Revenue” to “Billable Hours” until a rate exists. A per-teacher or per-subject rate table if pay varies.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3.4 Criterion 4 — Backup &amp; restore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Status: </w:t>
      </w:r>
      <w:r>
        <w:rPr>
          <w:b/>
          <w:bCs/>
          <w:color w:val="B42318"/>
          <w:sz w:val="19"/>
          <w:szCs w:val="19"/>
        </w:rPr>
        <w:t xml:space="preserve">NOT MET</w:t>
      </w:r>
      <w:r>
        <w:rPr>
          <w:color w:val="1D2939"/>
          <w:sz w:val="21"/>
          <w:szCs w:val="21"/>
        </w:rPr>
        <w:t xml:space="preserve">  — no coverage.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No backup/restore documentation exists. </w:t>
      </w:r>
      <w:r>
        <w:rPr>
          <w:color w:val="1D2939"/>
          <w:sz w:val="21"/>
          <w:szCs w:val="21"/>
        </w:rPr>
        <w:t xml:space="preserve">A search across all docs for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backup | restore | pg_dump | point-in-time | disaster recovery</w:t>
      </w:r>
      <w:r>
        <w:rPr>
          <w:color w:val="1D2939"/>
          <w:sz w:val="21"/>
          <w:szCs w:val="21"/>
        </w:rPr>
        <w:t xml:space="preserve"> returns nothing describing a procedure.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What does exist in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db/scripts/</w:t>
      </w:r>
      <w:r>
        <w:rPr>
          <w:color w:val="1D2939"/>
          <w:sz w:val="21"/>
          <w:szCs w:val="21"/>
        </w:rPr>
        <w:t xml:space="preserve"> are </w:t>
      </w:r>
      <w:r>
        <w:rPr>
          <w:b/>
          <w:bCs/>
          <w:color w:val="B42318"/>
          <w:sz w:val="21"/>
          <w:szCs w:val="21"/>
        </w:rPr>
        <w:t xml:space="preserve">destructive</w:t>
      </w:r>
      <w:r>
        <w:rPr>
          <w:color w:val="1D2939"/>
          <w:sz w:val="21"/>
          <w:szCs w:val="21"/>
        </w:rPr>
        <w:t xml:space="preserve"> scripts: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wipe-hours-and-revenue-data.sql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wipe-invoices-and-reports.sql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wipe-students-and-testing-data.sql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reset-db.sql</w:t>
      </w:r>
      <w:r>
        <w:rPr>
          <w:color w:val="1D2939"/>
          <w:sz w:val="21"/>
          <w:szCs w:val="21"/>
        </w:rPr>
        <w:t xml:space="preserve"> (62 KB). These are the opposite of a backup story and are dangerous to keep without a tested restore path.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Supabase provides managed backups / PITR, but the criterion requires this to be </w:t>
      </w:r>
      <w:r>
        <w:rPr>
          <w:b/>
          <w:bCs/>
          <w:color w:val="1D2939"/>
          <w:sz w:val="21"/>
          <w:szCs w:val="21"/>
        </w:rPr>
        <w:t xml:space="preserve">documented and tested</w:t>
      </w:r>
      <w:r>
        <w:rPr>
          <w:color w:val="1D2939"/>
          <w:sz w:val="21"/>
          <w:szCs w:val="21"/>
        </w:rPr>
        <w:t xml:space="preserve"> — neither is present, and there is no evidence a restore has ever been rehearsed.</w:t>
      </w:r>
    </w:p>
    <w:tbl>
      <w:tblPr>
        <w:tblW w:type="dxa" w:w="9360"/>
        <w:tblBorders>
          <w:top w:val="none"/>
          <w:left w:val="single" w:color="4FAEE5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AEE5" w:sz="24"/>
              <w:bottom w:val="none"/>
              <w:right w:val="none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AEE5"/>
                <w:sz w:val="21"/>
                <w:szCs w:val="21"/>
              </w:rPr>
              <w:t xml:space="preserve">Definition of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1D2939"/>
                <w:sz w:val="21"/>
                <w:szCs w:val="21"/>
              </w:rPr>
              <w:t xml:space="preserve">A </w:t>
            </w:r>
            <w:r>
              <w:rPr>
                <w:rFonts w:ascii="Consolas" w:cs="Consolas" w:eastAsia="Consolas" w:hAnsi="Consolas"/>
                <w:color w:val="273267"/>
                <w:sz w:val="19"/>
                <w:szCs w:val="19"/>
              </w:rPr>
              <w:t xml:space="preserve">db/docs/BACKUP_AND_RESTORE.md</w:t>
            </w:r>
            <w:r>
              <w:rPr>
                <w:color w:val="1D2939"/>
                <w:sz w:val="21"/>
                <w:szCs w:val="21"/>
              </w:rPr>
              <w:t xml:space="preserve"> runbook covering: the active Supabase plan / PITR window; how to take an on-demand logical dump (</w:t>
            </w:r>
            <w:r>
              <w:rPr>
                <w:rFonts w:ascii="Consolas" w:cs="Consolas" w:eastAsia="Consolas" w:hAnsi="Consolas"/>
                <w:color w:val="273267"/>
                <w:sz w:val="19"/>
                <w:szCs w:val="19"/>
              </w:rPr>
              <w:t xml:space="preserve">pg_dump</w:t>
            </w:r>
            <w:r>
              <w:rPr>
                <w:color w:val="1D2939"/>
                <w:sz w:val="21"/>
                <w:szCs w:val="21"/>
              </w:rPr>
              <w:t xml:space="preserve">) including storage buckets; a step-by-step restore runbook; and a dated record of at least one successful restore into a scratch project.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4. Deep dive — the hours &amp; billing engine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Because every payment, balance and report ultimately derives from one mechanism, it warrants its own section. This is where the most consequential logic — and the most consequential risk — lives.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4.1 Two independent counters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Counter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computed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Teacher hours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fetchTeacherPeriodDetail() sums session_duration_hrs for every non-no-show session of a teacher over a date range. Ignores course_type / student. Powers Teacher Hours + My Hours.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Student package hours (“Revenue”)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computeHoursUsed() sums session_duration_hrs for a student + matching course_type (or specific student_package_id), excluding no-shows. Powers balances, invoices, reports.</w:t>
            </w:r>
          </w:p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The only thing that decides whether a session touches a package is whether the form set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student_id</w:t>
      </w:r>
      <w:r>
        <w:rPr>
          <w:color w:val="1D2939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course_type_id</w:t>
      </w:r>
      <w:r>
        <w:rPr>
          <w:color w:val="1D2939"/>
          <w:sz w:val="21"/>
          <w:szCs w:val="21"/>
        </w:rPr>
        <w:t xml:space="preserve">. There is no separate “is this revenue” flag.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4.2 No-show semantics (billing-critical)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200"/>
        <w:gridCol w:w="2100"/>
        <w:gridCol w:w="21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Pays teacher?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Deducts student hour?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7326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Show 1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Affects nobody; course_type_id / duration left null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Show 2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Yes (flat rate)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Pays teacher; package untouched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No Show +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Yes (flat rate)</w:t>
            </w:r>
          </w:p>
        </w:tc>
        <w:tc>
          <w:tcPr>
            <w:tcW w:type="dxa" w:w="2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Yes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1D2939"/>
                <w:sz w:val="19"/>
                <w:szCs w:val="19"/>
              </w:rPr>
              <w:t xml:space="preserve">Carries real course_type_id + duration (admin default), so it bills</w:t>
            </w:r>
          </w:p>
        </w:tc>
      </w:tr>
    </w:tbl>
    <w:p>
      <w:pPr>
        <w:spacing w:after="120" w:line="276"/>
      </w:pPr>
      <w:r>
        <w:rPr>
          <w:color w:val="1D2939"/>
          <w:sz w:val="21"/>
          <w:szCs w:val="21"/>
        </w:rPr>
        <w:t xml:space="preserve">Encoded in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src/utils/noShow.ts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isNonBillableNoShow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isPayableNoShow</w:t>
      </w:r>
      <w:r>
        <w:rPr>
          <w:color w:val="1D2939"/>
          <w:sz w:val="21"/>
          <w:szCs w:val="21"/>
        </w:rPr>
        <w:t xml:space="preserve">). Duration for No Show + comes silently from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session_duration_settings.default_duration_hrs</w:t>
      </w:r>
      <w:r>
        <w:rPr>
          <w:color w:val="1D2939"/>
          <w:sz w:val="21"/>
          <w:szCs w:val="21"/>
        </w:rPr>
        <w:t xml:space="preserve">, never shown in the form — correct per product decision, but it means a billed deduction happens with no per-log human confirmation.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4.3 Multi-pool resolution (bundle students)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Foundation Program / All-In-One students hold several concurrent pools.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handle_session_log_package_lock()</w:t>
      </w:r>
      <w:r>
        <w:rPr>
          <w:color w:val="1D2939"/>
          <w:sz w:val="21"/>
          <w:szCs w:val="21"/>
        </w:rPr>
        <w:t xml:space="preserve"> resolves which pool a session bills against in this order: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color w:val="1D2939"/>
          <w:sz w:val="21"/>
          <w:szCs w:val="21"/>
        </w:rPr>
        <w:t xml:space="preserve">If the session was already resolved and student/course type are unchanged → pass through untouched (never re-resolve a deducted session).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color w:val="1D2939"/>
          <w:sz w:val="21"/>
          <w:szCs w:val="21"/>
        </w:rPr>
        <w:t xml:space="preserve">Exactly one unlocked pool for the course type → use it.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color w:val="1D2939"/>
          <w:sz w:val="21"/>
          <w:szCs w:val="21"/>
        </w:rPr>
        <w:t xml:space="preserve">Zero pools → create a fresh zero-hour pool of the session’s own course type and flag pool_fallback_used (overage), never blocking the save.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color w:val="1D2939"/>
          <w:sz w:val="21"/>
          <w:szCs w:val="21"/>
        </w:rPr>
        <w:t xml:space="preserve">More than one → check the sticky session_log_pool_resolutions cache first, then a direct subject-name→pool_label match; if neither resolves, leave student_package_id NULL and pool_ambiguous = true for a PC to resolve manually.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This logic has already absorbed three real bug fixes (cross-course-type borrow on student S1; re-resolution of already-deducted sessions; resolution-before-subject-name ordering). It is now correct but </w:t>
      </w:r>
      <w:r>
        <w:rPr>
          <w:b/>
          <w:bCs/>
          <w:color w:val="1D2939"/>
          <w:sz w:val="21"/>
          <w:szCs w:val="21"/>
        </w:rPr>
        <w:t xml:space="preserve">intricate and human-dependent at the edges</w:t>
      </w:r>
      <w:r>
        <w:rPr>
          <w:color w:val="1D2939"/>
          <w:sz w:val="21"/>
          <w:szCs w:val="21"/>
        </w:rPr>
        <w:t xml:space="preserve"> — see §6.3–§6.4.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5. Phase 2 — detailed analysis (AI layer excluded)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Phase 2 is contractually conditional on written Phase 1 sign-off. Notably, much of its interface and workflow scope is </w:t>
      </w:r>
      <w:r>
        <w:rPr>
          <w:b/>
          <w:bCs/>
          <w:color w:val="1D2939"/>
          <w:sz w:val="21"/>
          <w:szCs w:val="21"/>
        </w:rPr>
        <w:t xml:space="preserve">already built</w:t>
      </w:r>
      <w:r>
        <w:rPr>
          <w:color w:val="1D2939"/>
          <w:sz w:val="21"/>
          <w:szCs w:val="21"/>
        </w:rPr>
        <w:t xml:space="preserve"> — so the risk here is inverted: effort has run ahead of the gate. Each deliverable is assessed on what actually ships in the code.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5.1 Student / parent-facing view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Build state: </w:t>
      </w:r>
      <w:r>
        <w:rPr>
          <w:b/>
          <w:bCs/>
          <w:color w:val="067647"/>
          <w:sz w:val="21"/>
          <w:szCs w:val="21"/>
        </w:rPr>
        <w:t xml:space="preserve">BUILT</w:t>
      </w:r>
      <w:r>
        <w:rPr>
          <w:color w:val="1D2939"/>
          <w:sz w:val="21"/>
          <w:szCs w:val="21"/>
        </w:rPr>
        <w:t xml:space="preserve">. A read-only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/student/*</w:t>
      </w:r>
      <w:r>
        <w:rPr>
          <w:color w:val="1D2939"/>
          <w:sz w:val="21"/>
          <w:szCs w:val="21"/>
        </w:rPr>
        <w:t xml:space="preserve"> portal (parent role was merged into student on 2026-07-07 — one login per family).</w:t>
      </w:r>
    </w:p>
    <w:p>
      <w:pPr>
        <w:pStyle w:val="Heading3"/>
        <w:spacing w:after="80" w:before="180"/>
      </w:pPr>
      <w:r>
        <w:rPr>
          <w:b/>
          <w:bCs/>
          <w:color w:val="067647"/>
          <w:sz w:val="22"/>
          <w:szCs w:val="22"/>
        </w:rPr>
        <w:t xml:space="preserve">What is delivered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/student/overview</w:t>
      </w:r>
      <w:r>
        <w:rPr>
          <w:color w:val="1D2939"/>
          <w:sz w:val="21"/>
          <w:szCs w:val="21"/>
        </w:rPr>
        <w:t xml:space="preserve">: a three-level drill-down (branch → subject → per-teacher session history), branches derived from the student’s own packages; plus teacher notes and the assigned coach’s profile card.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/student/sessions</w:t>
      </w:r>
      <w:r>
        <w:rPr>
          <w:color w:val="1D2939"/>
          <w:sz w:val="21"/>
          <w:szCs w:val="21"/>
        </w:rPr>
        <w:t xml:space="preserve">: filterable session history (coach-internal fields such as engagement / flag / Fathom transcript deliberately hidden).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/student/packages</w:t>
      </w:r>
      <w:r>
        <w:rPr>
          <w:color w:val="1D2939"/>
          <w:sz w:val="21"/>
          <w:szCs w:val="21"/>
        </w:rPr>
        <w:t xml:space="preserve"> (balance bars) and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/student/reports</w:t>
      </w:r>
      <w:r>
        <w:rPr>
          <w:color w:val="1D2939"/>
          <w:sz w:val="21"/>
          <w:szCs w:val="21"/>
        </w:rPr>
        <w:t xml:space="preserve"> (only reports an admin explicitly published, RLS-enforced on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invoices.published_to_student_at</w:t>
      </w:r>
      <w:r>
        <w:rPr>
          <w:color w:val="1D2939"/>
          <w:sz w:val="21"/>
          <w:szCs w:val="21"/>
        </w:rPr>
        <w:t xml:space="preserve">).</w:t>
      </w:r>
    </w:p>
    <w:p>
      <w:pPr>
        <w:pStyle w:val="Heading3"/>
        <w:spacing w:after="80" w:before="180"/>
      </w:pPr>
      <w:r>
        <w:rPr>
          <w:b/>
          <w:bCs/>
          <w:color w:val="B54708"/>
          <w:sz w:val="22"/>
          <w:szCs w:val="22"/>
        </w:rPr>
        <w:t xml:space="preserve">Gaps against the brief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“Progress” and “key milestones” </w:t>
      </w:r>
      <w:r>
        <w:rPr>
          <w:color w:val="1D2939"/>
          <w:sz w:val="21"/>
          <w:szCs w:val="21"/>
        </w:rPr>
        <w:t xml:space="preserve">are represented implicitly (session history + hour bars). There is no explicit milestone/goal-tracking model surfaced to the student; the goal/outcome data lives in Performance Coach Logs, which students cannot see. If “milestones” means a visible achievement timeline, it is not built.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First-login “complete your profile” gate requires a large field set; an existing student missing any field is re-gated. Worth confirming this is acceptable UX, not a lock-out risk.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5.2 Performance Coach dashboard (aggregated insights)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Build state: </w:t>
      </w:r>
      <w:r>
        <w:rPr>
          <w:b/>
          <w:bCs/>
          <w:color w:val="067647"/>
          <w:sz w:val="21"/>
          <w:szCs w:val="21"/>
        </w:rPr>
        <w:t xml:space="preserve">BUILT</w:t>
      </w:r>
      <w:r>
        <w:rPr>
          <w:color w:val="1D2939"/>
          <w:sz w:val="21"/>
          <w:szCs w:val="21"/>
        </w:rPr>
        <w:t xml:space="preserve">. Two surfaces: the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PcAssignmentReport</w:t>
      </w:r>
      <w:r>
        <w:rPr>
          <w:color w:val="1D2939"/>
          <w:sz w:val="21"/>
          <w:szCs w:val="21"/>
        </w:rPr>
        <w:t xml:space="preserve"> aggregate (mean of 9 star ratings + distribution of 5 dropdowns across a coach’s students) and the append-only Performance Coach Log history per student.</w:t>
      </w:r>
    </w:p>
    <w:p>
      <w:pPr>
        <w:pStyle w:val="Heading3"/>
        <w:spacing w:after="80" w:before="180"/>
      </w:pPr>
      <w:r>
        <w:rPr>
          <w:b/>
          <w:bCs/>
          <w:color w:val="4FAEE5"/>
          <w:sz w:val="22"/>
          <w:szCs w:val="22"/>
        </w:rPr>
        <w:t xml:space="preserve">Logic review — usePcReport.ts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Aggregation correctly takes the </w:t>
      </w:r>
      <w:r>
        <w:rPr>
          <w:b/>
          <w:bCs/>
          <w:color w:val="1D2939"/>
          <w:sz w:val="21"/>
          <w:szCs w:val="21"/>
        </w:rPr>
        <w:t xml:space="preserve">latest log per student</w:t>
      </w:r>
      <w:r>
        <w:rPr>
          <w:color w:val="1D2939"/>
          <w:sz w:val="21"/>
          <w:szCs w:val="21"/>
        </w:rPr>
        <w:t xml:space="preserve"> (newest-first fetch, first-seen wins) so students with more logs are not over-weighted. Means for ratings, distributions for categories — statistically appropriate.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Scale caveat: </w:t>
      </w:r>
      <w:r>
        <w:rPr>
          <w:color w:val="1D2939"/>
          <w:sz w:val="21"/>
          <w:szCs w:val="21"/>
        </w:rPr>
        <w:t xml:space="preserve">the query is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.select("*").in("student_id", ids)</w:t>
      </w:r>
      <w:r>
        <w:rPr>
          <w:color w:val="1D2939"/>
          <w:sz w:val="21"/>
          <w:szCs w:val="21"/>
        </w:rPr>
        <w:t xml:space="preserve"> with no explicit range. Supabase caps rows at 1000 by default — a coach with many students × many historical logs could hit the cap and silently miss the latest log for some students, skewing the aggregate. Add an explicit ordering+limit strategy or fetch latest-per-student server-side.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idsKey = studentIds.join(",")</w:t>
      </w:r>
      <w:r>
        <w:rPr>
          <w:color w:val="1D2939"/>
          <w:sz w:val="21"/>
          <w:szCs w:val="21"/>
        </w:rPr>
        <w:t xml:space="preserve"> then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.split(",")</w:t>
      </w:r>
      <w:r>
        <w:rPr>
          <w:color w:val="1D2939"/>
          <w:sz w:val="21"/>
          <w:szCs w:val="21"/>
        </w:rPr>
        <w:t xml:space="preserve"> is a fragile round-trip; safe only because student IDs contain no commas. A code smell worth tidying.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5.3 Invoice / data-entry workflow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Build state: </w:t>
      </w:r>
      <w:r>
        <w:rPr>
          <w:b/>
          <w:bCs/>
          <w:color w:val="B54708"/>
          <w:sz w:val="21"/>
          <w:szCs w:val="21"/>
        </w:rPr>
        <w:t xml:space="preserve">PARTIAL</w:t>
      </w:r>
      <w:r>
        <w:rPr>
          <w:color w:val="1D2939"/>
          <w:sz w:val="21"/>
          <w:szCs w:val="21"/>
        </w:rPr>
        <w:t xml:space="preserve">. The enrollment → invoice → payment-proof → review flow (three edge functions: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send-enrollment-invoice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submit-payment-proof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review-enrollment-payment</w:t>
      </w:r>
      <w:r>
        <w:rPr>
          <w:color w:val="1D2939"/>
          <w:sz w:val="21"/>
          <w:szCs w:val="21"/>
        </w:rPr>
        <w:t xml:space="preserve">) is the single source of truth for hour changes and is well-designed — multi-package requests, per-line pool resolution, locked-package renewal rules, deduped confirmation emails.</w:t>
      </w:r>
    </w:p>
    <w:p>
      <w:pPr>
        <w:pStyle w:val="Heading3"/>
        <w:spacing w:after="80" w:before="180"/>
      </w:pPr>
      <w:r>
        <w:rPr>
          <w:b/>
          <w:bCs/>
          <w:color w:val="067647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Direct-entry hour actions were removed so LAH stays a consistent read-only reflection — the invoice flow is the only write path. Good discipline.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submit-payment-proof</w:t>
      </w:r>
      <w:r>
        <w:rPr>
          <w:color w:val="1D2939"/>
          <w:sz w:val="21"/>
          <w:szCs w:val="21"/>
        </w:rPr>
        <w:t xml:space="preserve"> cleans up partially-uploaded files on any later failure — no orphaned bucket objects.</w:t>
      </w:r>
    </w:p>
    <w:p>
      <w:pPr>
        <w:pStyle w:val="Heading3"/>
        <w:spacing w:after="80" w:before="180"/>
      </w:pPr>
      <w:r>
        <w:rPr>
          <w:b/>
          <w:bCs/>
          <w:color w:val="B42318"/>
          <w:sz w:val="22"/>
          <w:szCs w:val="22"/>
        </w:rPr>
        <w:t xml:space="preserve">Gaps &amp; red flags (detailed in §6)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No price/amount on the invoice (ties to Criterion 3).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 public upload endpoint has no file-type / size validation and tokens never actually expire despite the “Invalid or expired” copy (§6.6).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The pre-payment edit modal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AdminEnrollmentsPage.tsx</w:t>
      </w:r>
      <w:r>
        <w:rPr>
          <w:color w:val="1D2939"/>
          <w:sz w:val="21"/>
          <w:szCs w:val="21"/>
        </w:rPr>
        <w:t xml:space="preserve">) edits only a subset of fields even though the update type supports more (README §5).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6. Red-flag catalogue — logic &amp; code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Findings are ranked by risk. Severity: </w:t>
      </w:r>
      <w:r>
        <w:rPr>
          <w:b/>
          <w:bCs/>
          <w:color w:val="B42318"/>
          <w:sz w:val="21"/>
          <w:szCs w:val="21"/>
        </w:rPr>
        <w:t xml:space="preserve">● High</w:t>
      </w:r>
      <w:r>
        <w:rPr>
          <w:color w:val="1D2939"/>
          <w:sz w:val="21"/>
          <w:szCs w:val="21"/>
        </w:rPr>
        <w:t xml:space="preserve">  </w:t>
      </w:r>
      <w:r>
        <w:rPr>
          <w:b/>
          <w:bCs/>
          <w:color w:val="B54708"/>
          <w:sz w:val="21"/>
          <w:szCs w:val="21"/>
        </w:rPr>
        <w:t xml:space="preserve">● Medium</w:t>
      </w:r>
      <w:r>
        <w:rPr>
          <w:color w:val="1D2939"/>
          <w:sz w:val="21"/>
          <w:szCs w:val="21"/>
        </w:rPr>
        <w:t xml:space="preserve">  </w:t>
      </w:r>
      <w:r>
        <w:rPr>
          <w:b/>
          <w:bCs/>
          <w:color w:val="6E7F1F"/>
          <w:sz w:val="21"/>
          <w:szCs w:val="21"/>
        </w:rPr>
        <w:t xml:space="preserve">● Low</w:t>
      </w:r>
      <w:r>
        <w:rPr>
          <w:color w:val="1D2939"/>
          <w:sz w:val="21"/>
          <w:szCs w:val="21"/>
        </w:rPr>
        <w:t xml:space="preserve">.</w:t>
      </w:r>
    </w:p>
    <w:p>
      <w:pPr>
        <w:keepNext/>
        <w:spacing w:after="60" w:before="220"/>
      </w:pPr>
      <w:r>
        <w:rPr>
          <w:b/>
          <w:bCs/>
          <w:color w:val="B4231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6.1  </w:t>
      </w:r>
      <w:r>
        <w:rPr>
          <w:b/>
          <w:bCs/>
          <w:color w:val="273267"/>
          <w:sz w:val="23"/>
          <w:szCs w:val="23"/>
        </w:rPr>
        <w:t xml:space="preserve">Consumed hours are computed on the client, never stored</w:t>
      </w:r>
      <w:r>
        <w:rPr>
          <w:b/>
          <w:bCs/>
          <w:color w:val="B42318"/>
          <w:sz w:val="18"/>
          <w:szCs w:val="18"/>
        </w:rPr>
        <w:t xml:space="preserve">   [HIGH]</w:t>
      </w:r>
    </w:p>
    <w:p>
      <w:pPr>
        <w:spacing w:after="120" w:line="276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student_packages</w:t>
      </w:r>
      <w:r>
        <w:rPr>
          <w:color w:val="1D2939"/>
          <w:sz w:val="21"/>
          <w:szCs w:val="21"/>
        </w:rPr>
        <w:t xml:space="preserve"> stores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total_hours_purchased</w:t>
      </w:r>
      <w:r>
        <w:rPr>
          <w:color w:val="1D2939"/>
          <w:sz w:val="21"/>
          <w:szCs w:val="21"/>
        </w:rPr>
        <w:t xml:space="preserve"> but </w:t>
      </w:r>
      <w:r>
        <w:rPr>
          <w:b/>
          <w:bCs/>
          <w:color w:val="1D2939"/>
          <w:sz w:val="21"/>
          <w:szCs w:val="21"/>
        </w:rPr>
        <w:t xml:space="preserve">not</w:t>
      </w:r>
      <w:r>
        <w:rPr>
          <w:color w:val="1D2939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hours_used</w:t>
      </w:r>
      <w:r>
        <w:rPr>
          <w:color w:val="1D2939"/>
          <w:sz w:val="21"/>
          <w:szCs w:val="21"/>
        </w:rPr>
        <w:t xml:space="preserve">. Every balance, every “X/Y hrs” figure, and every invoice total is derived by summing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session_logs</w:t>
      </w:r>
      <w:r>
        <w:rPr>
          <w:color w:val="1D2939"/>
          <w:sz w:val="21"/>
          <w:szCs w:val="21"/>
        </w:rPr>
        <w:t xml:space="preserve"> in JavaScript, on each page load.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No server-side source of truth for consumed hours. Correctness depends on every page fetching the </w:t>
      </w:r>
      <w:r>
        <w:rPr>
          <w:b/>
          <w:bCs/>
          <w:color w:val="1D2939"/>
          <w:sz w:val="21"/>
          <w:szCs w:val="21"/>
        </w:rPr>
        <w:t xml:space="preserve">complete</w:t>
      </w:r>
      <w:r>
        <w:rPr>
          <w:color w:val="1D2939"/>
          <w:sz w:val="21"/>
          <w:szCs w:val="21"/>
        </w:rPr>
        <w:t xml:space="preserve"> session set and summing identically. Three subtly different helpers already exist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computeHoursUsed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computeHoursUsedBySubject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computeHoursUsedByTeacher</w:t>
      </w:r>
      <w:r>
        <w:rPr>
          <w:color w:val="1D2939"/>
          <w:sz w:val="21"/>
          <w:szCs w:val="21"/>
        </w:rPr>
        <w:t xml:space="preserve">) plus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teacherPeriodDetail</w:t>
      </w:r>
      <w:r>
        <w:rPr>
          <w:color w:val="1D2939"/>
          <w:sz w:val="21"/>
          <w:szCs w:val="21"/>
        </w:rPr>
        <w:t xml:space="preserve"> — divergence risk is real.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Pagination / RLS row-capping is a silent-undercount hazard: if any feeding query is ever limited or partially blocked, the balance reads </w:t>
      </w:r>
      <w:r>
        <w:rPr>
          <w:b/>
          <w:bCs/>
          <w:color w:val="1D2939"/>
          <w:sz w:val="21"/>
          <w:szCs w:val="21"/>
        </w:rPr>
        <w:t xml:space="preserve">low with no error</w:t>
      </w:r>
      <w:r>
        <w:rPr>
          <w:color w:val="1D2939"/>
          <w:sz w:val="21"/>
          <w:szCs w:val="21"/>
        </w:rPr>
        <w:t xml:space="preserve"> — a family could appear to have hours they have spent.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This fragility was already hit once: locked-package hours “bled into” renewals until the sum was re-scoped by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student_package_id</w:t>
      </w:r>
      <w:r>
        <w:rPr>
          <w:color w:val="1D2939"/>
          <w:sz w:val="21"/>
          <w:szCs w:val="21"/>
        </w:rPr>
        <w:t xml:space="preserve"> (2026-07-02).</w:t>
      </w: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Recommendation: </w:t>
      </w:r>
      <w:r>
        <w:rPr>
          <w:color w:val="1D2939"/>
          <w:sz w:val="21"/>
          <w:szCs w:val="21"/>
        </w:rPr>
        <w:t xml:space="preserve">make a stored, trigger-maintained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hours_used</w:t>
      </w:r>
      <w:r>
        <w:rPr>
          <w:color w:val="1D2939"/>
          <w:sz w:val="21"/>
          <w:szCs w:val="21"/>
        </w:rPr>
        <w:t xml:space="preserve"> (or a DB view / materialized view) the source of truth and have the client display it. At minimum, pin the helpers with shared-fixture unit tests.</w:t>
      </w:r>
    </w:p>
    <w:p>
      <w:pPr>
        <w:keepNext/>
        <w:spacing w:after="60" w:before="220"/>
      </w:pPr>
      <w:r>
        <w:rPr>
          <w:b/>
          <w:bCs/>
          <w:color w:val="B5470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6.2  </w:t>
      </w:r>
      <w:r>
        <w:rPr>
          <w:b/>
          <w:bCs/>
          <w:color w:val="273267"/>
          <w:sz w:val="23"/>
          <w:szCs w:val="23"/>
        </w:rPr>
        <w:t xml:space="preserve">“Monthly Revenue” means hours, not money</w:t>
      </w:r>
      <w:r>
        <w:rPr>
          <w:b/>
          <w:bCs/>
          <w:color w:val="B54708"/>
          <w:sz w:val="18"/>
          <w:szCs w:val="18"/>
        </w:rPr>
        <w:t xml:space="preserve">   [MEDIUM]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A Finance user reads “revenue” as currency; the tab and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buildMonthlyRevenuePdf</w:t>
      </w:r>
      <w:r>
        <w:rPr>
          <w:color w:val="1D2939"/>
          <w:sz w:val="21"/>
          <w:szCs w:val="21"/>
        </w:rPr>
        <w:t xml:space="preserve"> emit hours. Either rename to “Billable Hours” until a rate exists, or add the rate. This is a correctness-of-communication defect even though the numbers are internally consistent.</w:t>
      </w:r>
    </w:p>
    <w:p>
      <w:pPr>
        <w:keepNext/>
        <w:spacing w:after="60" w:before="220"/>
      </w:pPr>
      <w:r>
        <w:rPr>
          <w:b/>
          <w:bCs/>
          <w:color w:val="B5470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6.3  </w:t>
      </w:r>
      <w:r>
        <w:rPr>
          <w:b/>
          <w:bCs/>
          <w:color w:val="273267"/>
          <w:sz w:val="23"/>
          <w:szCs w:val="23"/>
        </w:rPr>
        <w:t xml:space="preserve">Zero-active-pool fallback silently creates 0-hour “overage” pools</w:t>
      </w:r>
      <w:r>
        <w:rPr>
          <w:b/>
          <w:bCs/>
          <w:color w:val="B54708"/>
          <w:sz w:val="18"/>
          <w:szCs w:val="18"/>
        </w:rPr>
        <w:t xml:space="preserve">   [MEDIUM]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When a session is logged for a student with no matching package, the trigger auto-creates a zero-hour pool and stamps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pool_fallback_used = true</w:t>
      </w:r>
      <w:r>
        <w:rPr>
          <w:color w:val="1D2939"/>
          <w:sz w:val="21"/>
          <w:szCs w:val="21"/>
        </w:rPr>
        <w:t xml:space="preserve"> rather than blocking; the session reads as e.g. “1/0 hrs used”. By design (it avoids data loss and was hardened on 2026-07-05 to stop cross-course-type borrowing). But reconciliation depends entirely on a human noticing the flag or acting on a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notify-pool-issue</w:t>
      </w:r>
      <w:r>
        <w:rPr>
          <w:color w:val="1D2939"/>
          <w:sz w:val="21"/>
          <w:szCs w:val="21"/>
        </w:rPr>
        <w:t xml:space="preserve"> email. An unnoticed overage means a student consumes hours they never bought, invisibly.</w:t>
      </w:r>
    </w:p>
    <w:p>
      <w:pPr>
        <w:keepNext/>
        <w:spacing w:after="60" w:before="220"/>
      </w:pPr>
      <w:r>
        <w:rPr>
          <w:b/>
          <w:bCs/>
          <w:color w:val="B5470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6.4  </w:t>
      </w:r>
      <w:r>
        <w:rPr>
          <w:b/>
          <w:bCs/>
          <w:color w:val="273267"/>
          <w:sz w:val="23"/>
          <w:szCs w:val="23"/>
        </w:rPr>
        <w:t xml:space="preserve">Multi-pool sessions can sit unresolved (pool_ambiguous) indefinitely</w:t>
      </w:r>
      <w:r>
        <w:rPr>
          <w:b/>
          <w:bCs/>
          <w:color w:val="B54708"/>
          <w:sz w:val="18"/>
          <w:szCs w:val="18"/>
        </w:rPr>
        <w:t xml:space="preserve">   [MEDIUM]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For bundle students, an unresolvable session is saved with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student_package_id = NULL, pool_ambiguous = true</w:t>
      </w:r>
      <w:r>
        <w:rPr>
          <w:color w:val="1D2939"/>
          <w:sz w:val="21"/>
          <w:szCs w:val="21"/>
        </w:rPr>
        <w:t xml:space="preserve"> and is </w:t>
      </w:r>
      <w:r>
        <w:rPr>
          <w:b/>
          <w:bCs/>
          <w:color w:val="1D2939"/>
          <w:sz w:val="21"/>
          <w:szCs w:val="21"/>
        </w:rPr>
        <w:t xml:space="preserve">excluded from every balance</w:t>
      </w:r>
      <w:r>
        <w:rPr>
          <w:color w:val="1D2939"/>
          <w:sz w:val="21"/>
          <w:szCs w:val="21"/>
        </w:rPr>
        <w:t xml:space="preserve"> until a PC manually resolves it. If the notifying email does not fire (see 6.5) or the PC ignores it, those hours are uncounted — the balance looks healthier than reality and the teacher’s billable picture is incomplete. There is no dashboard queue forcing resolution; it is email-dependent.</w:t>
      </w:r>
    </w:p>
    <w:p>
      <w:pPr>
        <w:keepNext/>
        <w:spacing w:after="60" w:before="220"/>
      </w:pPr>
      <w:r>
        <w:rPr>
          <w:b/>
          <w:bCs/>
          <w:color w:val="B5470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6.5  </w:t>
      </w:r>
      <w:r>
        <w:rPr>
          <w:b/>
          <w:bCs/>
          <w:color w:val="273267"/>
          <w:sz w:val="23"/>
          <w:szCs w:val="23"/>
        </w:rPr>
        <w:t xml:space="preserve">Notification email delivery is unverified</w:t>
      </w:r>
      <w:r>
        <w:rPr>
          <w:b/>
          <w:bCs/>
          <w:color w:val="B54708"/>
          <w:sz w:val="18"/>
          <w:szCs w:val="18"/>
        </w:rPr>
        <w:t xml:space="preserve">   [MEDIUM]</w:t>
      </w:r>
    </w:p>
    <w:p>
      <w:pPr>
        <w:spacing w:after="120" w:line="276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VERIFIED_DATABASE_STATE.md</w:t>
      </w:r>
      <w:r>
        <w:rPr>
          <w:color w:val="1D2939"/>
          <w:sz w:val="21"/>
          <w:szCs w:val="21"/>
        </w:rPr>
        <w:t xml:space="preserve"> notes for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notify-pool-issue</w:t>
      </w:r>
      <w:r>
        <w:rPr>
          <w:color w:val="1D2939"/>
          <w:sz w:val="21"/>
          <w:szCs w:val="21"/>
        </w:rPr>
        <w:t xml:space="preserve"> (same pattern as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notify-package-threshold</w:t>
      </w:r>
      <w:r>
        <w:rPr>
          <w:color w:val="1D2939"/>
          <w:sz w:val="21"/>
          <w:szCs w:val="21"/>
        </w:rPr>
        <w:t xml:space="preserve">): its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PUBLIC_APP_URL</w:t>
      </w:r>
      <w:r>
        <w:rPr>
          <w:color w:val="1D293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SMTP_*</w:t>
      </w:r>
      <w:r>
        <w:rPr>
          <w:color w:val="1D2939"/>
          <w:sz w:val="21"/>
          <w:szCs w:val="21"/>
        </w:rPr>
        <w:t xml:space="preserve"> secrets “still need to be confirmed set before it can actually send.” The reconciliation flows in 6.3/6.4 lean on these emails as the </w:t>
      </w:r>
      <w:r>
        <w:rPr>
          <w:b/>
          <w:bCs/>
          <w:color w:val="1D2939"/>
          <w:sz w:val="21"/>
          <w:szCs w:val="21"/>
        </w:rPr>
        <w:t xml:space="preserve">only</w:t>
      </w:r>
      <w:r>
        <w:rPr>
          <w:color w:val="1D2939"/>
          <w:sz w:val="21"/>
          <w:szCs w:val="21"/>
        </w:rPr>
        <w:t xml:space="preserve"> prompt to act. If SMTP is not configured in production, the “a human will catch it” safety net silently does not exist. </w:t>
      </w:r>
      <w:r>
        <w:rPr>
          <w:b/>
          <w:bCs/>
          <w:color w:val="1D2939"/>
          <w:sz w:val="21"/>
          <w:szCs w:val="21"/>
        </w:rPr>
        <w:t xml:space="preserve">Action: </w:t>
      </w:r>
      <w:r>
        <w:rPr>
          <w:color w:val="1D2939"/>
          <w:sz w:val="21"/>
          <w:szCs w:val="21"/>
        </w:rPr>
        <w:t xml:space="preserve">verify the secrets are set in prod and that a test email delivers.</w:t>
      </w:r>
    </w:p>
    <w:p>
      <w:pPr>
        <w:keepNext/>
        <w:spacing w:after="60" w:before="220"/>
      </w:pPr>
      <w:r>
        <w:rPr>
          <w:b/>
          <w:bCs/>
          <w:color w:val="B5470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6.6  </w:t>
      </w:r>
      <w:r>
        <w:rPr>
          <w:b/>
          <w:bCs/>
          <w:color w:val="273267"/>
          <w:sz w:val="23"/>
          <w:szCs w:val="23"/>
        </w:rPr>
        <w:t xml:space="preserve">Public payment-proof endpoint: no file validation, misleading “expiry”</w:t>
      </w:r>
      <w:r>
        <w:rPr>
          <w:b/>
          <w:bCs/>
          <w:color w:val="B54708"/>
          <w:sz w:val="18"/>
          <w:szCs w:val="18"/>
        </w:rPr>
        <w:t xml:space="preserve">   [MEDIUM]</w:t>
      </w:r>
    </w:p>
    <w:p>
      <w:pPr>
        <w:spacing w:after="120" w:line="276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submit-payment-proof</w:t>
      </w:r>
      <w:r>
        <w:rPr>
          <w:color w:val="1D2939"/>
          <w:sz w:val="21"/>
          <w:szCs w:val="21"/>
        </w:rPr>
        <w:t xml:space="preserve"> is intentionally public (no JWT) with the URL token as the only access control. Reviewing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index.ts</w:t>
      </w:r>
      <w:r>
        <w:rPr>
          <w:color w:val="1D2939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No content-type allow-list and no size limit. </w:t>
      </w:r>
      <w:r>
        <w:rPr>
          <w:color w:val="1D2939"/>
          <w:sz w:val="21"/>
          <w:szCs w:val="21"/>
        </w:rPr>
        <w:t xml:space="preserve">The extension is taken from the filename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file.name.split(".").pop() ?? "bin"</w:t>
      </w:r>
      <w:r>
        <w:rPr>
          <w:color w:val="1D2939"/>
          <w:sz w:val="21"/>
          <w:szCs w:val="21"/>
        </w:rPr>
        <w:t xml:space="preserve">) and the content type from the client (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file.type</w:t>
      </w:r>
      <w:r>
        <w:rPr>
          <w:color w:val="1D2939"/>
          <w:sz w:val="21"/>
          <w:szCs w:val="21"/>
        </w:rPr>
        <w:t xml:space="preserve">), both attacker-controlled. A holder of the token can upload arbitrary files (HTML/SVG/scripts) into the private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payment-proofs</w:t>
      </w:r>
      <w:r>
        <w:rPr>
          <w:color w:val="1D2939"/>
          <w:sz w:val="21"/>
          <w:szCs w:val="21"/>
        </w:rPr>
        <w:t xml:space="preserve"> bucket; if an admin later opens one via a signed URL that renders inline, that is a stored-content risk.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Tokens never expire. </w:t>
      </w:r>
      <w:r>
        <w:rPr>
          <w:color w:val="1D2939"/>
          <w:sz w:val="21"/>
          <w:szCs w:val="21"/>
        </w:rPr>
        <w:t xml:space="preserve">The error string says “Invalid or </w:t>
      </w:r>
      <w:r>
        <w:rPr>
          <w:i/>
          <w:iCs/>
          <w:color w:val="1D2939"/>
          <w:sz w:val="21"/>
          <w:szCs w:val="21"/>
        </w:rPr>
        <w:t xml:space="preserve">expired</w:t>
      </w:r>
      <w:r>
        <w:rPr>
          <w:color w:val="1D2939"/>
          <w:sz w:val="21"/>
          <w:szCs w:val="21"/>
        </w:rPr>
        <w:t xml:space="preserve"> payment link”, but there is no expiry or single-use logic — a leaked token stays valid until the request leaves a resubmittable status. Consider TTL / single-use and rate-limiting.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D2939"/>
          <w:sz w:val="21"/>
          <w:szCs w:val="21"/>
        </w:rPr>
        <w:t xml:space="preserve">No rate-limiting is present on the public POST path.</w:t>
      </w:r>
    </w:p>
    <w:p>
      <w:pPr>
        <w:keepNext/>
        <w:spacing w:after="60" w:before="220"/>
      </w:pPr>
      <w:r>
        <w:rPr>
          <w:b/>
          <w:bCs/>
          <w:color w:val="B54708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6.7  </w:t>
      </w:r>
      <w:r>
        <w:rPr>
          <w:b/>
          <w:bCs/>
          <w:color w:val="273267"/>
          <w:sz w:val="23"/>
          <w:szCs w:val="23"/>
        </w:rPr>
        <w:t xml:space="preserve">usePcReport can hit the 1000-row cap on large coaches</w:t>
      </w:r>
      <w:r>
        <w:rPr>
          <w:b/>
          <w:bCs/>
          <w:color w:val="B54708"/>
          <w:sz w:val="18"/>
          <w:szCs w:val="18"/>
        </w:rPr>
        <w:t xml:space="preserve">   [MEDIUM]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As detailed in §5.2 — the un-ranged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.select("*").in("student_id", ids)</w:t>
      </w:r>
      <w:r>
        <w:rPr>
          <w:color w:val="1D2939"/>
          <w:sz w:val="21"/>
          <w:szCs w:val="21"/>
        </w:rPr>
        <w:t xml:space="preserve"> fetch can silently truncate history for a high-volume coach, skewing the aggregate insights the PC dashboard is meant to provide.</w:t>
      </w:r>
    </w:p>
    <w:p>
      <w:pPr>
        <w:keepNext/>
        <w:spacing w:after="60" w:before="220"/>
      </w:pPr>
      <w:r>
        <w:rPr>
          <w:b/>
          <w:bCs/>
          <w:color w:val="6E7F1F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6.8  </w:t>
      </w:r>
      <w:r>
        <w:rPr>
          <w:b/>
          <w:bCs/>
          <w:color w:val="273267"/>
          <w:sz w:val="23"/>
          <w:szCs w:val="23"/>
        </w:rPr>
        <w:t xml:space="preserve">SET search_path missing on most SECURITY DEFINER functions</w:t>
      </w:r>
      <w:r>
        <w:rPr>
          <w:b/>
          <w:bCs/>
          <w:color w:val="6E7F1F"/>
          <w:sz w:val="18"/>
          <w:szCs w:val="18"/>
        </w:rPr>
        <w:t xml:space="preserve">   [LOW]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Supabase advisors flag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function_search_path_mutable</w:t>
      </w:r>
      <w:r>
        <w:rPr>
          <w:color w:val="1D2939"/>
          <w:sz w:val="21"/>
          <w:szCs w:val="21"/>
        </w:rPr>
        <w:t xml:space="preserve"> on nearly all functions (only four set it). Not currently exploitable, but these are privilege-elevated functions and a mutable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search_path</w:t>
      </w:r>
      <w:r>
        <w:rPr>
          <w:color w:val="1D2939"/>
          <w:sz w:val="21"/>
          <w:szCs w:val="21"/>
        </w:rPr>
        <w:t xml:space="preserve"> is a known escalation vector. Cheap to harden — add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SET search_path = public</w:t>
      </w:r>
      <w:r>
        <w:rPr>
          <w:color w:val="1D2939"/>
          <w:sz w:val="21"/>
          <w:szCs w:val="21"/>
        </w:rPr>
        <w:t xml:space="preserve"> to each.</w:t>
      </w:r>
    </w:p>
    <w:p>
      <w:pPr>
        <w:keepNext/>
        <w:spacing w:after="60" w:before="220"/>
      </w:pPr>
      <w:r>
        <w:rPr>
          <w:b/>
          <w:bCs/>
          <w:color w:val="6E7F1F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6.9  </w:t>
      </w:r>
      <w:r>
        <w:rPr>
          <w:b/>
          <w:bCs/>
          <w:color w:val="273267"/>
          <w:sz w:val="23"/>
          <w:szCs w:val="23"/>
        </w:rPr>
        <w:t xml:space="preserve">Duplicate / overlapping RLS policies on several tables</w:t>
      </w:r>
      <w:r>
        <w:rPr>
          <w:b/>
          <w:bCs/>
          <w:color w:val="6E7F1F"/>
          <w:sz w:val="18"/>
          <w:szCs w:val="18"/>
        </w:rPr>
        <w:t xml:space="preserve">   [LOW]</w:t>
      </w:r>
    </w:p>
    <w:p>
      <w:pPr>
        <w:spacing w:after="120" w:line="276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session_logs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curricula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subjects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subject_categories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teacher_subjects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program_types</w:t>
      </w:r>
      <w:r>
        <w:rPr>
          <w:color w:val="1D2939"/>
          <w:sz w:val="21"/>
          <w:szCs w:val="21"/>
        </w:rPr>
        <w:t xml:space="preserve"> carry redundant policies from iterative migrations. Not broken, but overlapping policies make it easy to think access has been tightened when a broader leftover still grants it. Consolidate and re-audit.</w:t>
      </w:r>
    </w:p>
    <w:p>
      <w:pPr>
        <w:keepNext/>
        <w:spacing w:after="60" w:before="220"/>
      </w:pPr>
      <w:r>
        <w:rPr>
          <w:b/>
          <w:bCs/>
          <w:color w:val="6E7F1F"/>
          <w:sz w:val="24"/>
          <w:szCs w:val="24"/>
        </w:rPr>
        <w:t xml:space="preserve">● </w:t>
      </w:r>
      <w:r>
        <w:rPr>
          <w:b/>
          <w:bCs/>
          <w:color w:val="273267"/>
          <w:sz w:val="23"/>
          <w:szCs w:val="23"/>
        </w:rPr>
        <w:t xml:space="preserve">6.10  </w:t>
      </w:r>
      <w:r>
        <w:rPr>
          <w:b/>
          <w:bCs/>
          <w:color w:val="273267"/>
          <w:sz w:val="23"/>
          <w:szCs w:val="23"/>
        </w:rPr>
        <w:t xml:space="preserve">Client-side scoping is display-only (by design, but note it)</w:t>
      </w:r>
      <w:r>
        <w:rPr>
          <w:b/>
          <w:bCs/>
          <w:color w:val="6E7F1F"/>
          <w:sz w:val="18"/>
          <w:szCs w:val="18"/>
        </w:rPr>
        <w:t xml:space="preserve">   [LOW]</w:t>
      </w:r>
    </w:p>
    <w:p>
      <w:pPr>
        <w:spacing w:after="120" w:line="276"/>
      </w:pPr>
      <w:r>
        <w:rPr>
          <w:rFonts w:ascii="Consolas" w:cs="Consolas" w:eastAsia="Consolas" w:hAnsi="Consolas"/>
          <w:color w:val="273267"/>
          <w:sz w:val="19"/>
          <w:szCs w:val="19"/>
        </w:rPr>
        <w:t xml:space="preserve">ProtectedRoute</w:t>
      </w:r>
      <w:r>
        <w:rPr>
          <w:color w:val="1D2939"/>
          <w:sz w:val="21"/>
          <w:szCs w:val="21"/>
        </w:rPr>
        <w:t xml:space="preserve"> and props like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allowedIds</w:t>
      </w:r>
      <w:r>
        <w:rPr>
          <w:color w:val="1D293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scopeToTeacherId</w:t>
      </w:r>
      <w:r>
        <w:rPr>
          <w:color w:val="1D2939"/>
          <w:sz w:val="21"/>
          <w:szCs w:val="21"/>
        </w:rPr>
        <w:t xml:space="preserve"> are UX conveniences, not security — correctly documented in README §3.6. “My Students” scoping for PCs is deliberately display-only; any staff row can read every student. An accepted decision, but one HR/Finance should understand when reasoning about who-can-see-what.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7. What is done well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A balanced report records strengths — several are above the norm for a build this size.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Documentation discipline.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CLAUDE.md</w:t>
      </w:r>
      <w:r>
        <w:rPr>
          <w:color w:val="1D2939"/>
          <w:sz w:val="21"/>
          <w:szCs w:val="21"/>
        </w:rPr>
        <w:t xml:space="preserve"> enforces that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VERIFIED_DATABASE_STATE.md</w:t>
      </w:r>
      <w:r>
        <w:rPr>
          <w:color w:val="1D2939"/>
          <w:sz w:val="21"/>
          <w:szCs w:val="21"/>
        </w:rPr>
        <w:t xml:space="preserve"> is regenerated from live introspection, and it demonstrably caught and undid real bugs (the S1 cross-course-type billing error; the login-lockout email desync).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Single write-path for hours. </w:t>
      </w:r>
      <w:r>
        <w:rPr>
          <w:color w:val="1D2939"/>
          <w:sz w:val="21"/>
          <w:szCs w:val="21"/>
        </w:rPr>
        <w:t xml:space="preserve">Removing direct hour-entry so the invoice flow is the only source of truth is exactly the right call for auditability.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Fail-closed RLS. </w:t>
      </w:r>
      <w:r>
        <w:rPr>
          <w:color w:val="1D2939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rls_auto_enable</w:t>
      </w:r>
      <w:r>
        <w:rPr>
          <w:color w:val="1D2939"/>
          <w:sz w:val="21"/>
          <w:szCs w:val="21"/>
        </w:rPr>
        <w:t xml:space="preserve"> event trigger locks every new table until policies are added — secure by default.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Structured catalogue. </w:t>
      </w:r>
      <w:r>
        <w:rPr>
          <w:color w:val="1D2939"/>
          <w:sz w:val="21"/>
          <w:szCs w:val="21"/>
        </w:rPr>
        <w:t xml:space="preserve">Moving students/subjects off free text onto FK-backed tables designs out a large class of data-entry error.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Careful no-show / multi-pool semantics. </w:t>
      </w:r>
      <w:r>
        <w:rPr>
          <w:color w:val="1D2939"/>
          <w:sz w:val="21"/>
          <w:szCs w:val="21"/>
        </w:rPr>
        <w:t xml:space="preserve">The billing edge cases are genuinely thought through and documented, with fixes traced to the sessions that surfaced them.</w:t>
      </w:r>
    </w:p>
    <w:p>
      <w:pPr>
        <w:pStyle w:val="Heading1"/>
        <w:spacing w:after="140" w:before="320"/>
      </w:pPr>
      <w:r>
        <w:rPr>
          <w:b/>
          <w:bCs/>
          <w:color w:val="273267"/>
          <w:sz w:val="30"/>
          <w:szCs w:val="30"/>
        </w:rPr>
        <w:t xml:space="preserve">8. Route to sign-off — prioritised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8.1 To close Phase 1 as written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Backup &amp; restore runbook + one tested restore </w:t>
      </w:r>
      <w:r>
        <w:rPr>
          <w:color w:val="1D2939"/>
          <w:sz w:val="21"/>
          <w:szCs w:val="21"/>
        </w:rPr>
        <w:t xml:space="preserve">(Criterion 4). Highest priority — currently zero coverage; blocks sign-off outright.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A pay-rate model </w:t>
      </w:r>
      <w:r>
        <w:rPr>
          <w:color w:val="1D2939"/>
          <w:sz w:val="21"/>
          <w:szCs w:val="21"/>
        </w:rPr>
        <w:t xml:space="preserve">(Criterion 3). Even a single global SGD/hour setting unblocks real payment summaries; rename “Monthly Revenue” → “Billable Hours” in the interim.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b/>
          <w:bCs/>
          <w:color w:val="1D2939"/>
          <w:sz w:val="21"/>
          <w:szCs w:val="21"/>
        </w:rPr>
        <w:t xml:space="preserve">A test dataset + before/after error measurement </w:t>
      </w:r>
      <w:r>
        <w:rPr>
          <w:color w:val="1D2939"/>
          <w:sz w:val="21"/>
          <w:szCs w:val="21"/>
        </w:rPr>
        <w:t xml:space="preserve">and a minimal unit-test harness on the money-sensitive pure functions (Criterion 2).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8.2 Robustness (independent of the wording)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color w:val="1D2939"/>
          <w:sz w:val="21"/>
          <w:szCs w:val="21"/>
        </w:rPr>
        <w:t xml:space="preserve">Make consumed-hours a stored / DB-computed source of truth, or pin the three client helpers with tests (6.1).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color w:val="1D2939"/>
          <w:sz w:val="21"/>
          <w:szCs w:val="21"/>
        </w:rPr>
        <w:t xml:space="preserve">Confirm SMTP /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PUBLIC_APP_URL</w:t>
      </w:r>
      <w:r>
        <w:rPr>
          <w:color w:val="1D2939"/>
          <w:sz w:val="21"/>
          <w:szCs w:val="21"/>
        </w:rPr>
        <w:t xml:space="preserve"> secrets in production and prove delivery (6.5); add a dashboard queue for unresolved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pool_ambiguous</w:t>
      </w:r>
      <w:r>
        <w:rPr>
          <w:color w:val="1D2939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pool_fallback_used</w:t>
      </w:r>
      <w:r>
        <w:rPr>
          <w:color w:val="1D2939"/>
          <w:sz w:val="21"/>
          <w:szCs w:val="21"/>
        </w:rPr>
        <w:t xml:space="preserve"> sessions so reconciliation is not email-dependent (6.3–6.4).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color w:val="1D2939"/>
          <w:sz w:val="21"/>
          <w:szCs w:val="21"/>
        </w:rPr>
        <w:t xml:space="preserve">Harden the public upload endpoint: content-type allow-list, size limit, token TTL / single-use, rate-limiting (6.6).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color w:val="1D2939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273267"/>
          <w:sz w:val="19"/>
          <w:szCs w:val="19"/>
        </w:rPr>
        <w:t xml:space="preserve">SET search_path</w:t>
      </w:r>
      <w:r>
        <w:rPr>
          <w:color w:val="1D2939"/>
          <w:sz w:val="21"/>
          <w:szCs w:val="21"/>
        </w:rPr>
        <w:t xml:space="preserve"> to all SECURITY DEFINER functions; consolidate duplicate RLS policies (6.8–6.9).</w:t>
      </w:r>
    </w:p>
    <w:p>
      <w:pPr>
        <w:pStyle w:val="Heading2"/>
        <w:spacing w:after="100" w:before="240"/>
      </w:pPr>
      <w:r>
        <w:rPr>
          <w:b/>
          <w:bCs/>
          <w:color w:val="273267"/>
          <w:sz w:val="25"/>
          <w:szCs w:val="25"/>
        </w:rPr>
        <w:t xml:space="preserve">8.3 Phase 2 governance</w:t>
      </w:r>
    </w:p>
    <w:p>
      <w:pPr>
        <w:spacing w:after="120" w:line="276"/>
      </w:pPr>
      <w:r>
        <w:rPr>
          <w:color w:val="1D2939"/>
          <w:sz w:val="21"/>
          <w:szCs w:val="21"/>
        </w:rPr>
        <w:t xml:space="preserve">Phase 2 interface/workflow scope is substantially built ahead of its contractual sign-off gate. Recommendation: </w:t>
      </w:r>
      <w:r>
        <w:rPr>
          <w:b/>
          <w:bCs/>
          <w:color w:val="1D2939"/>
          <w:sz w:val="21"/>
          <w:szCs w:val="21"/>
        </w:rPr>
        <w:t xml:space="preserve">freeze Phase 2 surface area</w:t>
      </w:r>
      <w:r>
        <w:rPr>
          <w:color w:val="1D2939"/>
          <w:sz w:val="21"/>
          <w:szCs w:val="21"/>
        </w:rPr>
        <w:t xml:space="preserve"> (including the excluded AI layer) and redirect effort to closing the four Phase 1 criteria, so the written sign-off the contract requires can actually be given. If a visible “milestones” model is expected for the student view (§5.1), scope it explicitly rather than assuming session history covers it.</w:t>
      </w:r>
    </w:p>
    <w:p>
      <w:pPr>
        <w:pBdr>
          <w:bottom w:val="single" w:color="D0D5DD" w:sz="6"/>
        </w:pBdr>
        <w:spacing w:after="120" w:before="60"/>
      </w:pPr>
    </w:p>
    <w:p>
      <w:pPr>
        <w:spacing w:after="120" w:line="276"/>
      </w:pPr>
      <w:r>
        <w:rPr>
          <w:b/>
          <w:bCs/>
          <w:color w:val="1D2939"/>
          <w:sz w:val="21"/>
          <w:szCs w:val="21"/>
        </w:rPr>
        <w:t xml:space="preserve">End of report. </w:t>
      </w:r>
      <w:r>
        <w:rPr>
          <w:i/>
          <w:iCs/>
          <w:color w:val="667085"/>
          <w:sz w:val="21"/>
          <w:szCs w:val="21"/>
        </w:rPr>
        <w:t xml:space="preserve">Prepared from a static review of the repository at the stated date. Items marked “verify” or “confirm” require a live environment check to close.</w:t>
      </w:r>
    </w:p>
    <w:sectPr>
      <w:headerReference w:type="default" r:id="rId7"/>
      <w:footerReference w:type="default" r:id="rId8"/>
      <w:pgSz w:w="12240" w:h="15840" w:orient="portrait"/>
      <w:pgMar w:top="11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Confidential — internal  • 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  <w:jc w:val="right"/>
    </w:pPr>
    <w:r>
      <w:rPr>
        <w:color w:val="667085"/>
        <w:sz w:val="16"/>
        <w:szCs w:val="16"/>
      </w:rPr>
      <w:t xml:space="preserve">Ascend Now — Phase 1 &amp; 2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27326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7326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Now — Phase 1 &amp; 2 Analysis Report</dc:title>
  <dc:creator>Ascend Now</dc:creator>
  <cp:lastModifiedBy>Un-named</cp:lastModifiedBy>
  <cp:revision>1</cp:revision>
  <dcterms:created xsi:type="dcterms:W3CDTF">2026-07-21T13:39:01.831Z</dcterms:created>
  <dcterms:modified xsi:type="dcterms:W3CDTF">2026-07-21T13:39:01.832Z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