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rPr>
          <w:rFonts w:ascii="Calibri" w:cs="Calibri" w:eastAsia="Calibri" w:hAnsi="Calibri"/>
          <w:b/>
          <w:bCs/>
          <w:color w:val="22315B"/>
          <w:sz w:val="40"/>
          <w:szCs w:val="40"/>
        </w:rPr>
        <w:t xml:space="preserve">ASCEND NOW</w:t>
      </w:r>
    </w:p>
    <w:p>
      <w:pPr>
        <w:spacing w:after="260"/>
      </w:pPr>
      <w:r>
        <w:rPr>
          <w:rFonts w:ascii="Calibri" w:cs="Calibri" w:eastAsia="Calibri" w:hAnsi="Calibri"/>
          <w:color w:val="5B6472"/>
          <w:sz w:val="24"/>
          <w:szCs w:val="24"/>
        </w:rPr>
        <w:t xml:space="preserve">Operations Data System</w:t>
      </w:r>
    </w:p>
    <w:p>
      <w:pPr>
        <w:pBdr>
          <w:top w:val="single" w:color="22315B" w:sz="12"/>
          <w:bottom w:val="single" w:color="22315B" w:sz="4"/>
        </w:pBdr>
        <w:spacing w:after="0"/>
      </w:pPr>
    </w:p>
    <w:p>
      <w:pPr>
        <w:spacing w:after="60" w:before="220"/>
      </w:pPr>
      <w:r>
        <w:rPr>
          <w:rFonts w:ascii="Calibri" w:cs="Calibri" w:eastAsia="Calibri" w:hAnsi="Calibri"/>
          <w:b/>
          <w:bCs/>
          <w:color w:val="1D2430"/>
          <w:sz w:val="46"/>
          <w:szCs w:val="46"/>
        </w:rPr>
        <w:t xml:space="preserve">System Analysis Report</w:t>
      </w:r>
    </w:p>
    <w:p>
      <w:pPr>
        <w:spacing w:after="40"/>
      </w:pPr>
      <w:r>
        <w:rPr>
          <w:rFonts w:ascii="Cambria" w:cs="Cambria" w:eastAsia="Cambria" w:hAnsi="Cambria"/>
          <w:i/>
          <w:iCs/>
          <w:color w:val="5B6472"/>
          <w:sz w:val="24"/>
          <w:szCs w:val="24"/>
        </w:rPr>
        <w:t xml:space="preserve">Findings, impact, and recommendations</w:t>
      </w:r>
    </w:p>
    <w:p>
      <w:pPr>
        <w:spacing w:after="0" w:before="2600"/>
      </w:pPr>
    </w:p>
    <w:tbl>
      <w:tblPr>
        <w:tblW w:type="dxa" w:w="9360"/>
        <w:tblBorders>
          <w:top w:val="single" w:color="C9CFDA" w:sz="4"/>
          <w:left w:val="single" w:color="C9CFDA" w:sz="4"/>
          <w:bottom w:val="single" w:color="C9CFDA" w:sz="4"/>
          <w:right w:val="single" w:color="C9CFDA" w:sz="4"/>
          <w:insideH w:val="single" w:color="C9CFDA" w:sz="4"/>
          <w:insideV w:val="single" w:color="C9CFDA" w:sz="4"/>
        </w:tblBorders>
      </w:tblPr>
      <w:tblGrid>
        <w:gridCol w:w="2600"/>
        <w:gridCol w:w="6760"/>
      </w:tblGrid>
      <w:tr>
        <w:trPr>
          <w:tblHeader/>
        </w:trPr>
        <w:tc>
          <w:tcPr>
            <w:tcW w:type="dxa" w:w="2600"/>
            <w:tcBorders>
              <w:top w:val="single" w:color="C9CFDA" w:sz="4"/>
              <w:left w:val="single" w:color="C9CFDA" w:sz="4"/>
              <w:bottom w:val="single" w:color="C9CFDA" w:sz="4"/>
              <w:right w:val="single" w:color="C9CFDA" w:sz="4"/>
            </w:tcBorders>
            <w:shd w:fill="22315B" w:color="auto" w:val="clear"/>
            <w:tcMar>
              <w:top w:type="dxa" w:w="70"/>
              <w:left w:type="dxa" w:w="110"/>
              <w:bottom w:type="dxa" w:w="70"/>
              <w:right w:type="dxa" w:w="110"/>
            </w:tcMar>
          </w:tcPr>
          <w:p>
            <w:pPr>
              <w:spacing w:after="0"/>
            </w:pPr>
            <w:r>
              <w:rPr>
                <w:rFonts w:ascii="Calibri" w:cs="Calibri" w:eastAsia="Calibri" w:hAnsi="Calibri"/>
                <w:b/>
                <w:bCs/>
                <w:color w:val="FFFFFF"/>
                <w:sz w:val="18"/>
                <w:szCs w:val="18"/>
              </w:rPr>
              <w:t xml:space="preserve">Report</w:t>
            </w:r>
          </w:p>
        </w:tc>
        <w:tc>
          <w:tcPr>
            <w:tcW w:type="dxa" w:w="6760"/>
            <w:tcBorders>
              <w:top w:val="single" w:color="C9CFDA" w:sz="4"/>
              <w:left w:val="single" w:color="C9CFDA" w:sz="4"/>
              <w:bottom w:val="single" w:color="C9CFDA" w:sz="4"/>
              <w:right w:val="single" w:color="C9CFDA" w:sz="4"/>
            </w:tcBorders>
            <w:shd w:fill="22315B" w:color="auto" w:val="clear"/>
            <w:tcMar>
              <w:top w:type="dxa" w:w="70"/>
              <w:left w:type="dxa" w:w="110"/>
              <w:bottom w:type="dxa" w:w="70"/>
              <w:right w:type="dxa" w:w="110"/>
            </w:tcMar>
          </w:tcPr>
          <w:p>
            <w:pPr>
              <w:spacing w:after="0"/>
            </w:pPr>
            <w:r>
              <w:rPr>
                <w:rFonts w:ascii="Calibri" w:cs="Calibri" w:eastAsia="Calibri" w:hAnsi="Calibri"/>
                <w:b/>
                <w:bCs/>
                <w:color w:val="FFFFFF"/>
                <w:sz w:val="18"/>
                <w:szCs w:val="18"/>
              </w:rPr>
              <w:t xml:space="preserve">System Analysis Report</w:t>
            </w:r>
          </w:p>
        </w:tc>
      </w:tr>
      <w:tr>
        <w:trPr>
          <w:tblHeader w:val="false"/>
        </w:trPr>
        <w:tc>
          <w:tcPr>
            <w:tcW w:type="dxa" w:w="2600"/>
            <w:tcBorders>
              <w:top w:val="single" w:color="C9CFDA" w:sz="4"/>
              <w:left w:val="single" w:color="C9CFDA" w:sz="4"/>
              <w:bottom w:val="single" w:color="C9CFDA" w:sz="4"/>
              <w:right w:val="single" w:color="C9CFDA" w:sz="4"/>
            </w:tcBorders>
            <w:tcMar>
              <w:top w:type="dxa" w:w="70"/>
              <w:left w:type="dxa" w:w="110"/>
              <w:bottom w:type="dxa" w:w="70"/>
              <w:right w:type="dxa" w:w="110"/>
            </w:tcMar>
          </w:tcPr>
          <w:p>
            <w:pPr>
              <w:spacing w:after="0"/>
            </w:pPr>
            <w:r>
              <w:rPr>
                <w:rFonts w:ascii="Calibri" w:cs="Calibri" w:eastAsia="Calibri" w:hAnsi="Calibri"/>
                <w:b w:val="false"/>
                <w:bCs w:val="false"/>
                <w:color w:val="1D2430"/>
                <w:sz w:val="19"/>
                <w:szCs w:val="19"/>
              </w:rPr>
              <w:t xml:space="preserve">Subject</w:t>
            </w:r>
          </w:p>
        </w:tc>
        <w:tc>
          <w:tcPr>
            <w:tcW w:type="dxa" w:w="6760"/>
            <w:tcBorders>
              <w:top w:val="single" w:color="C9CFDA" w:sz="4"/>
              <w:left w:val="single" w:color="C9CFDA" w:sz="4"/>
              <w:bottom w:val="single" w:color="C9CFDA" w:sz="4"/>
              <w:right w:val="single" w:color="C9CFDA" w:sz="4"/>
            </w:tcBorders>
            <w:tcMar>
              <w:top w:type="dxa" w:w="70"/>
              <w:left w:type="dxa" w:w="110"/>
              <w:bottom w:type="dxa" w:w="70"/>
              <w:right w:type="dxa" w:w="110"/>
            </w:tcMar>
          </w:tcPr>
          <w:p>
            <w:pPr>
              <w:spacing w:after="0"/>
            </w:pPr>
            <w:r>
              <w:rPr>
                <w:rFonts w:ascii="Calibri" w:cs="Calibri" w:eastAsia="Calibri" w:hAnsi="Calibri"/>
                <w:b w:val="false"/>
                <w:bCs w:val="false"/>
                <w:color w:val="1D2430"/>
                <w:sz w:val="19"/>
                <w:szCs w:val="19"/>
              </w:rPr>
              <w:t xml:space="preserve">Ascend Now — Operations Data System</w:t>
            </w:r>
          </w:p>
        </w:tc>
      </w:tr>
      <w:tr>
        <w:trPr>
          <w:tblHeader w:val="false"/>
        </w:trPr>
        <w:tc>
          <w:tcPr>
            <w:tcW w:type="dxa" w:w="2600"/>
            <w:tcBorders>
              <w:top w:val="single" w:color="C9CFDA" w:sz="4"/>
              <w:left w:val="single" w:color="C9CFDA" w:sz="4"/>
              <w:bottom w:val="single" w:color="C9CFDA" w:sz="4"/>
              <w:right w:val="single" w:color="C9CFDA" w:sz="4"/>
            </w:tcBorders>
            <w:shd w:fill="F5F6F9" w:color="auto" w:val="clear"/>
            <w:tcMar>
              <w:top w:type="dxa" w:w="70"/>
              <w:left w:type="dxa" w:w="110"/>
              <w:bottom w:type="dxa" w:w="70"/>
              <w:right w:type="dxa" w:w="110"/>
            </w:tcMar>
          </w:tcPr>
          <w:p>
            <w:pPr>
              <w:spacing w:after="0"/>
            </w:pPr>
            <w:r>
              <w:rPr>
                <w:rFonts w:ascii="Calibri" w:cs="Calibri" w:eastAsia="Calibri" w:hAnsi="Calibri"/>
                <w:b w:val="false"/>
                <w:bCs w:val="false"/>
                <w:color w:val="1D2430"/>
                <w:sz w:val="19"/>
                <w:szCs w:val="19"/>
              </w:rPr>
              <w:t xml:space="preserve">Date</w:t>
            </w:r>
          </w:p>
        </w:tc>
        <w:tc>
          <w:tcPr>
            <w:tcW w:type="dxa" w:w="6760"/>
            <w:tcBorders>
              <w:top w:val="single" w:color="C9CFDA" w:sz="4"/>
              <w:left w:val="single" w:color="C9CFDA" w:sz="4"/>
              <w:bottom w:val="single" w:color="C9CFDA" w:sz="4"/>
              <w:right w:val="single" w:color="C9CFDA" w:sz="4"/>
            </w:tcBorders>
            <w:shd w:fill="F5F6F9" w:color="auto" w:val="clear"/>
            <w:tcMar>
              <w:top w:type="dxa" w:w="70"/>
              <w:left w:type="dxa" w:w="110"/>
              <w:bottom w:type="dxa" w:w="70"/>
              <w:right w:type="dxa" w:w="110"/>
            </w:tcMar>
          </w:tcPr>
          <w:p>
            <w:pPr>
              <w:spacing w:after="0"/>
            </w:pPr>
            <w:r>
              <w:rPr>
                <w:rFonts w:ascii="Calibri" w:cs="Calibri" w:eastAsia="Calibri" w:hAnsi="Calibri"/>
                <w:b w:val="false"/>
                <w:bCs w:val="false"/>
                <w:color w:val="1D2430"/>
                <w:sz w:val="19"/>
                <w:szCs w:val="19"/>
              </w:rPr>
              <w:t xml:space="preserve">21 July 2026</w:t>
            </w:r>
          </w:p>
        </w:tc>
      </w:tr>
      <w:tr>
        <w:trPr>
          <w:tblHeader w:val="false"/>
        </w:trPr>
        <w:tc>
          <w:tcPr>
            <w:tcW w:type="dxa" w:w="2600"/>
            <w:tcBorders>
              <w:top w:val="single" w:color="C9CFDA" w:sz="4"/>
              <w:left w:val="single" w:color="C9CFDA" w:sz="4"/>
              <w:bottom w:val="single" w:color="C9CFDA" w:sz="4"/>
              <w:right w:val="single" w:color="C9CFDA" w:sz="4"/>
            </w:tcBorders>
            <w:tcMar>
              <w:top w:type="dxa" w:w="70"/>
              <w:left w:type="dxa" w:w="110"/>
              <w:bottom w:type="dxa" w:w="70"/>
              <w:right w:type="dxa" w:w="110"/>
            </w:tcMar>
          </w:tcPr>
          <w:p>
            <w:pPr>
              <w:spacing w:after="0"/>
            </w:pPr>
            <w:r>
              <w:rPr>
                <w:rFonts w:ascii="Calibri" w:cs="Calibri" w:eastAsia="Calibri" w:hAnsi="Calibri"/>
                <w:b w:val="false"/>
                <w:bCs w:val="false"/>
                <w:color w:val="1D2430"/>
                <w:sz w:val="19"/>
                <w:szCs w:val="19"/>
              </w:rPr>
              <w:t xml:space="preserve">Classification</w:t>
            </w:r>
          </w:p>
        </w:tc>
        <w:tc>
          <w:tcPr>
            <w:tcW w:type="dxa" w:w="6760"/>
            <w:tcBorders>
              <w:top w:val="single" w:color="C9CFDA" w:sz="4"/>
              <w:left w:val="single" w:color="C9CFDA" w:sz="4"/>
              <w:bottom w:val="single" w:color="C9CFDA" w:sz="4"/>
              <w:right w:val="single" w:color="C9CFDA" w:sz="4"/>
            </w:tcBorders>
            <w:tcMar>
              <w:top w:type="dxa" w:w="70"/>
              <w:left w:type="dxa" w:w="110"/>
              <w:bottom w:type="dxa" w:w="70"/>
              <w:right w:type="dxa" w:w="110"/>
            </w:tcMar>
          </w:tcPr>
          <w:p>
            <w:pPr>
              <w:spacing w:after="0"/>
            </w:pPr>
            <w:r>
              <w:rPr>
                <w:rFonts w:ascii="Calibri" w:cs="Calibri" w:eastAsia="Calibri" w:hAnsi="Calibri"/>
                <w:b w:val="false"/>
                <w:bCs w:val="false"/>
                <w:color w:val="1D2430"/>
                <w:sz w:val="19"/>
                <w:szCs w:val="19"/>
              </w:rPr>
              <w:t xml:space="preserve">Confidential — internal use</w:t>
            </w:r>
          </w:p>
        </w:tc>
      </w:tr>
      <w:tr>
        <w:trPr>
          <w:tblHeader w:val="false"/>
        </w:trPr>
        <w:tc>
          <w:tcPr>
            <w:tcW w:type="dxa" w:w="2600"/>
            <w:tcBorders>
              <w:top w:val="single" w:color="C9CFDA" w:sz="4"/>
              <w:left w:val="single" w:color="C9CFDA" w:sz="4"/>
              <w:bottom w:val="single" w:color="C9CFDA" w:sz="4"/>
              <w:right w:val="single" w:color="C9CFDA" w:sz="4"/>
            </w:tcBorders>
            <w:shd w:fill="F5F6F9" w:color="auto" w:val="clear"/>
            <w:tcMar>
              <w:top w:type="dxa" w:w="70"/>
              <w:left w:type="dxa" w:w="110"/>
              <w:bottom w:type="dxa" w:w="70"/>
              <w:right w:type="dxa" w:w="110"/>
            </w:tcMar>
          </w:tcPr>
          <w:p>
            <w:pPr>
              <w:spacing w:after="0"/>
            </w:pPr>
            <w:r>
              <w:rPr>
                <w:rFonts w:ascii="Calibri" w:cs="Calibri" w:eastAsia="Calibri" w:hAnsi="Calibri"/>
                <w:b w:val="false"/>
                <w:bCs w:val="false"/>
                <w:color w:val="1D2430"/>
                <w:sz w:val="19"/>
                <w:szCs w:val="19"/>
              </w:rPr>
              <w:t xml:space="preserve">Related document</w:t>
            </w:r>
          </w:p>
        </w:tc>
        <w:tc>
          <w:tcPr>
            <w:tcW w:type="dxa" w:w="6760"/>
            <w:tcBorders>
              <w:top w:val="single" w:color="C9CFDA" w:sz="4"/>
              <w:left w:val="single" w:color="C9CFDA" w:sz="4"/>
              <w:bottom w:val="single" w:color="C9CFDA" w:sz="4"/>
              <w:right w:val="single" w:color="C9CFDA" w:sz="4"/>
            </w:tcBorders>
            <w:shd w:fill="F5F6F9" w:color="auto" w:val="clear"/>
            <w:tcMar>
              <w:top w:type="dxa" w:w="70"/>
              <w:left w:type="dxa" w:w="110"/>
              <w:bottom w:type="dxa" w:w="70"/>
              <w:right w:type="dxa" w:w="110"/>
            </w:tcMar>
          </w:tcPr>
          <w:p>
            <w:pPr>
              <w:spacing w:after="0"/>
            </w:pPr>
            <w:r>
              <w:rPr>
                <w:rFonts w:ascii="Calibri" w:cs="Calibri" w:eastAsia="Calibri" w:hAnsi="Calibri"/>
                <w:b w:val="false"/>
                <w:bCs w:val="false"/>
                <w:color w:val="1D2430"/>
                <w:sz w:val="19"/>
                <w:szCs w:val="19"/>
              </w:rPr>
              <w:t xml:space="preserve">Phase 1 &amp; 2 Analysis Report</w:t>
            </w:r>
          </w:p>
        </w:tc>
      </w:tr>
    </w:tbl>
    <w:p>
      <w:r>
        <w:br w:type="page"/>
      </w:r>
    </w:p>
    <w:p>
      <w:pPr>
        <w:pStyle w:val="Heading1"/>
        <w:keepNext/>
        <w:spacing w:after="60" w:before="340"/>
      </w:pPr>
      <w:r>
        <w:rPr>
          <w:rFonts w:ascii="Calibri" w:cs="Calibri" w:eastAsia="Calibri" w:hAnsi="Calibri"/>
          <w:b/>
          <w:bCs/>
          <w:color w:val="22315B"/>
          <w:sz w:val="28"/>
          <w:szCs w:val="28"/>
        </w:rPr>
        <w:t xml:space="preserve">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keepNext/>
        <w:spacing w:after="60" w:before="340"/>
      </w:pPr>
      <w:r>
        <w:rPr>
          <w:rFonts w:ascii="Calibri" w:cs="Calibri" w:eastAsia="Calibri" w:hAnsi="Calibri"/>
          <w:b/>
          <w:bCs/>
          <w:color w:val="22315B"/>
          <w:sz w:val="28"/>
          <w:szCs w:val="28"/>
        </w:rPr>
        <w:t xml:space="preserve">1.  Executive summary</w:t>
      </w:r>
    </w:p>
    <w:p>
      <w:pPr>
        <w:spacing w:after="160" w:line="288"/>
      </w:pPr>
      <w:r>
        <w:rPr>
          <w:rFonts w:ascii="Cambria" w:cs="Cambria" w:eastAsia="Cambria" w:hAnsi="Cambria"/>
          <w:color w:val="1D2430"/>
          <w:sz w:val="21"/>
          <w:szCs w:val="21"/>
        </w:rPr>
        <w:t xml:space="preserve">This report presents the results of a review of the Ascend Now Operations Data System. The system's core is sound: teaching sessions flow into the correct hour packages automatically, the rules governing no-shows and month-end locking behave correctly, and student, teacher and coach information is held in structured records that prevent a broad class of data-entry errors.</w:t>
      </w:r>
    </w:p>
    <w:p>
      <w:pPr>
        <w:spacing w:after="160" w:line="288"/>
      </w:pPr>
      <w:r>
        <w:rPr>
          <w:rFonts w:ascii="Cambria" w:cs="Cambria" w:eastAsia="Cambria" w:hAnsi="Cambria"/>
          <w:color w:val="1D2430"/>
          <w:sz w:val="21"/>
          <w:szCs w:val="21"/>
        </w:rPr>
        <w:t xml:space="preserve">The review identified </w:t>
      </w:r>
      <w:r>
        <w:rPr>
          <w:rFonts w:ascii="Cambria" w:cs="Cambria" w:eastAsia="Cambria" w:hAnsi="Cambria"/>
          <w:b/>
          <w:bCs/>
          <w:color w:val="1D2430"/>
          <w:sz w:val="21"/>
          <w:szCs w:val="21"/>
        </w:rPr>
        <w:t xml:space="preserve">eight items</w:t>
      </w:r>
      <w:r>
        <w:rPr>
          <w:rFonts w:ascii="Cambria" w:cs="Cambria" w:eastAsia="Cambria" w:hAnsi="Cambria"/>
          <w:color w:val="1D2430"/>
          <w:sz w:val="21"/>
          <w:szCs w:val="21"/>
        </w:rPr>
        <w:t xml:space="preserve"> that warrant attention — four concerning the system's internal logic and four concerning capabilities that are not yet built. </w:t>
      </w:r>
      <w:r>
        <w:rPr>
          <w:rFonts w:ascii="Cambria" w:cs="Cambria" w:eastAsia="Cambria" w:hAnsi="Cambria"/>
          <w:b/>
          <w:bCs/>
          <w:color w:val="1D2430"/>
          <w:sz w:val="21"/>
          <w:szCs w:val="21"/>
        </w:rPr>
        <w:t xml:space="preserve">Two items</w:t>
      </w:r>
      <w:r>
        <w:rPr>
          <w:rFonts w:ascii="Cambria" w:cs="Cambria" w:eastAsia="Cambria" w:hAnsi="Cambria"/>
          <w:color w:val="1D2430"/>
          <w:sz w:val="21"/>
          <w:szCs w:val="21"/>
        </w:rPr>
        <w:t xml:space="preserve"> (the month-end summary lock and the stored hours-used figure) have already been corrected as part of this review. The remaining six are summarised below and explained in full in Sections 3 and 4.</w:t>
      </w:r>
    </w:p>
    <w:p>
      <w:pPr>
        <w:pStyle w:val="Heading2"/>
        <w:keepNext/>
        <w:spacing w:after="60" w:before="260"/>
      </w:pPr>
      <w:r>
        <w:rPr>
          <w:rFonts w:ascii="Calibri" w:cs="Calibri" w:eastAsia="Calibri" w:hAnsi="Calibri"/>
          <w:b/>
          <w:bCs/>
          <w:color w:val="22315B"/>
          <w:sz w:val="23"/>
          <w:szCs w:val="23"/>
        </w:rPr>
        <w:t xml:space="preserve">Summary of findings</w:t>
      </w:r>
    </w:p>
    <w:tbl>
      <w:tblPr>
        <w:tblW w:type="dxa" w:w="9360"/>
        <w:tblBorders>
          <w:top w:val="single" w:color="C9CFDA" w:sz="4"/>
          <w:left w:val="single" w:color="C9CFDA" w:sz="4"/>
          <w:bottom w:val="single" w:color="C9CFDA" w:sz="4"/>
          <w:right w:val="single" w:color="C9CFDA" w:sz="4"/>
          <w:insideH w:val="single" w:color="C9CFDA" w:sz="4"/>
          <w:insideV w:val="single" w:color="C9CFDA" w:sz="4"/>
        </w:tblBorders>
      </w:tblPr>
      <w:tblGrid>
        <w:gridCol w:w="620"/>
        <w:gridCol w:w="5250"/>
        <w:gridCol w:w="1550"/>
        <w:gridCol w:w="1940"/>
      </w:tblGrid>
      <w:tr>
        <w:trPr>
          <w:tblHeader/>
        </w:trPr>
        <w:tc>
          <w:tcPr>
            <w:tcW w:type="dxa" w:w="620"/>
            <w:tcBorders>
              <w:top w:val="single" w:color="C9CFDA" w:sz="4"/>
              <w:left w:val="single" w:color="C9CFDA" w:sz="4"/>
              <w:bottom w:val="single" w:color="C9CFDA" w:sz="4"/>
              <w:right w:val="single" w:color="C9CFDA" w:sz="4"/>
            </w:tcBorders>
            <w:shd w:fill="22315B" w:color="auto" w:val="clear"/>
            <w:tcMar>
              <w:top w:type="dxa" w:w="70"/>
              <w:left w:type="dxa" w:w="110"/>
              <w:bottom w:type="dxa" w:w="70"/>
              <w:right w:type="dxa" w:w="110"/>
            </w:tcMar>
          </w:tcPr>
          <w:p>
            <w:pPr>
              <w:spacing w:after="0"/>
            </w:pPr>
            <w:r>
              <w:rPr>
                <w:rFonts w:ascii="Calibri" w:cs="Calibri" w:eastAsia="Calibri" w:hAnsi="Calibri"/>
                <w:b/>
                <w:bCs/>
                <w:color w:val="FFFFFF"/>
                <w:sz w:val="18"/>
                <w:szCs w:val="18"/>
              </w:rPr>
              <w:t xml:space="preserve">#</w:t>
            </w:r>
          </w:p>
        </w:tc>
        <w:tc>
          <w:tcPr>
            <w:tcW w:type="dxa" w:w="5250"/>
            <w:tcBorders>
              <w:top w:val="single" w:color="C9CFDA" w:sz="4"/>
              <w:left w:val="single" w:color="C9CFDA" w:sz="4"/>
              <w:bottom w:val="single" w:color="C9CFDA" w:sz="4"/>
              <w:right w:val="single" w:color="C9CFDA" w:sz="4"/>
            </w:tcBorders>
            <w:shd w:fill="22315B" w:color="auto" w:val="clear"/>
            <w:tcMar>
              <w:top w:type="dxa" w:w="70"/>
              <w:left w:type="dxa" w:w="110"/>
              <w:bottom w:type="dxa" w:w="70"/>
              <w:right w:type="dxa" w:w="110"/>
            </w:tcMar>
          </w:tcPr>
          <w:p>
            <w:pPr>
              <w:spacing w:after="0"/>
            </w:pPr>
            <w:r>
              <w:rPr>
                <w:rFonts w:ascii="Calibri" w:cs="Calibri" w:eastAsia="Calibri" w:hAnsi="Calibri"/>
                <w:b/>
                <w:bCs/>
                <w:color w:val="FFFFFF"/>
                <w:sz w:val="18"/>
                <w:szCs w:val="18"/>
              </w:rPr>
              <w:t xml:space="preserve">Finding</w:t>
            </w:r>
          </w:p>
        </w:tc>
        <w:tc>
          <w:tcPr>
            <w:tcW w:type="dxa" w:w="1550"/>
            <w:tcBorders>
              <w:top w:val="single" w:color="C9CFDA" w:sz="4"/>
              <w:left w:val="single" w:color="C9CFDA" w:sz="4"/>
              <w:bottom w:val="single" w:color="C9CFDA" w:sz="4"/>
              <w:right w:val="single" w:color="C9CFDA" w:sz="4"/>
            </w:tcBorders>
            <w:shd w:fill="22315B" w:color="auto" w:val="clear"/>
            <w:tcMar>
              <w:top w:type="dxa" w:w="70"/>
              <w:left w:type="dxa" w:w="110"/>
              <w:bottom w:type="dxa" w:w="70"/>
              <w:right w:type="dxa" w:w="110"/>
            </w:tcMar>
          </w:tcPr>
          <w:p>
            <w:pPr>
              <w:spacing w:after="0"/>
            </w:pPr>
            <w:r>
              <w:rPr>
                <w:rFonts w:ascii="Calibri" w:cs="Calibri" w:eastAsia="Calibri" w:hAnsi="Calibri"/>
                <w:b/>
                <w:bCs/>
                <w:color w:val="FFFFFF"/>
                <w:sz w:val="18"/>
                <w:szCs w:val="18"/>
              </w:rPr>
              <w:t xml:space="preserve">Severity</w:t>
            </w:r>
          </w:p>
        </w:tc>
        <w:tc>
          <w:tcPr>
            <w:tcW w:type="dxa" w:w="1940"/>
            <w:tcBorders>
              <w:top w:val="single" w:color="C9CFDA" w:sz="4"/>
              <w:left w:val="single" w:color="C9CFDA" w:sz="4"/>
              <w:bottom w:val="single" w:color="C9CFDA" w:sz="4"/>
              <w:right w:val="single" w:color="C9CFDA" w:sz="4"/>
            </w:tcBorders>
            <w:shd w:fill="22315B" w:color="auto" w:val="clear"/>
            <w:tcMar>
              <w:top w:type="dxa" w:w="70"/>
              <w:left w:type="dxa" w:w="110"/>
              <w:bottom w:type="dxa" w:w="70"/>
              <w:right w:type="dxa" w:w="110"/>
            </w:tcMar>
          </w:tcPr>
          <w:p>
            <w:pPr>
              <w:spacing w:after="0"/>
            </w:pPr>
            <w:r>
              <w:rPr>
                <w:rFonts w:ascii="Calibri" w:cs="Calibri" w:eastAsia="Calibri" w:hAnsi="Calibri"/>
                <w:b/>
                <w:bCs/>
                <w:color w:val="FFFFFF"/>
                <w:sz w:val="18"/>
                <w:szCs w:val="18"/>
              </w:rPr>
              <w:t xml:space="preserve">Status</w:t>
            </w:r>
          </w:p>
        </w:tc>
      </w:tr>
      <w:tr>
        <w:trPr>
          <w:tblHeader w:val="false"/>
        </w:trPr>
        <w:tc>
          <w:tcPr>
            <w:tcW w:type="dxa" w:w="620"/>
            <w:tcBorders>
              <w:top w:val="single" w:color="C9CFDA" w:sz="4"/>
              <w:left w:val="single" w:color="C9CFDA" w:sz="4"/>
              <w:bottom w:val="single" w:color="C9CFDA" w:sz="4"/>
              <w:right w:val="single" w:color="C9CFDA" w:sz="4"/>
            </w:tcBorders>
            <w:tcMar>
              <w:top w:type="dxa" w:w="70"/>
              <w:left w:type="dxa" w:w="110"/>
              <w:bottom w:type="dxa" w:w="70"/>
              <w:right w:type="dxa" w:w="110"/>
            </w:tcMar>
          </w:tcPr>
          <w:p>
            <w:pPr>
              <w:spacing w:after="0"/>
            </w:pPr>
            <w:r>
              <w:rPr>
                <w:rFonts w:ascii="Calibri" w:cs="Calibri" w:eastAsia="Calibri" w:hAnsi="Calibri"/>
                <w:b w:val="false"/>
                <w:bCs w:val="false"/>
                <w:color w:val="1D2430"/>
                <w:sz w:val="19"/>
                <w:szCs w:val="19"/>
              </w:rPr>
              <w:t xml:space="preserve">1</w:t>
            </w:r>
          </w:p>
        </w:tc>
        <w:tc>
          <w:tcPr>
            <w:tcW w:type="dxa" w:w="5250"/>
            <w:tcBorders>
              <w:top w:val="single" w:color="C9CFDA" w:sz="4"/>
              <w:left w:val="single" w:color="C9CFDA" w:sz="4"/>
              <w:bottom w:val="single" w:color="C9CFDA" w:sz="4"/>
              <w:right w:val="single" w:color="C9CFDA" w:sz="4"/>
            </w:tcBorders>
            <w:tcMar>
              <w:top w:type="dxa" w:w="70"/>
              <w:left w:type="dxa" w:w="110"/>
              <w:bottom w:type="dxa" w:w="70"/>
              <w:right w:type="dxa" w:w="110"/>
            </w:tcMar>
          </w:tcPr>
          <w:p>
            <w:pPr>
              <w:spacing w:after="0"/>
            </w:pPr>
            <w:r>
              <w:rPr>
                <w:rFonts w:ascii="Calibri" w:cs="Calibri" w:eastAsia="Calibri" w:hAnsi="Calibri"/>
                <w:b w:val="false"/>
                <w:bCs w:val="false"/>
                <w:color w:val="1D2430"/>
                <w:sz w:val="19"/>
                <w:szCs w:val="19"/>
              </w:rPr>
              <w:t xml:space="preserve">A month-end summary could be locked with out-of-date totals</w:t>
            </w:r>
          </w:p>
        </w:tc>
        <w:tc>
          <w:tcPr>
            <w:tcW w:type="dxa" w:w="1550"/>
            <w:tcBorders>
              <w:top w:val="single" w:color="C9CFDA" w:sz="4"/>
              <w:left w:val="single" w:color="C9CFDA" w:sz="4"/>
              <w:bottom w:val="single" w:color="C9CFDA" w:sz="4"/>
              <w:right w:val="single" w:color="C9CFDA" w:sz="4"/>
            </w:tcBorders>
            <w:tcMar>
              <w:top w:type="dxa" w:w="70"/>
              <w:left w:type="dxa" w:w="110"/>
              <w:bottom w:type="dxa" w:w="70"/>
              <w:right w:type="dxa" w:w="110"/>
            </w:tcMar>
          </w:tcPr>
          <w:p>
            <w:pPr>
              <w:spacing w:after="0"/>
            </w:pPr>
            <w:r>
              <w:rPr>
                <w:rFonts w:ascii="Calibri" w:cs="Calibri" w:eastAsia="Calibri" w:hAnsi="Calibri"/>
                <w:b w:val="false"/>
                <w:bCs w:val="false"/>
                <w:color w:val="1D2430"/>
                <w:sz w:val="19"/>
                <w:szCs w:val="19"/>
              </w:rPr>
              <w:t xml:space="preserve">High</w:t>
            </w:r>
          </w:p>
        </w:tc>
        <w:tc>
          <w:tcPr>
            <w:tcW w:type="dxa" w:w="1940"/>
            <w:tcBorders>
              <w:top w:val="single" w:color="C9CFDA" w:sz="4"/>
              <w:left w:val="single" w:color="C9CFDA" w:sz="4"/>
              <w:bottom w:val="single" w:color="C9CFDA" w:sz="4"/>
              <w:right w:val="single" w:color="C9CFDA" w:sz="4"/>
            </w:tcBorders>
            <w:tcMar>
              <w:top w:type="dxa" w:w="70"/>
              <w:left w:type="dxa" w:w="110"/>
              <w:bottom w:type="dxa" w:w="70"/>
              <w:right w:type="dxa" w:w="110"/>
            </w:tcMar>
          </w:tcPr>
          <w:p>
            <w:pPr>
              <w:spacing w:after="0"/>
            </w:pPr>
            <w:r>
              <w:rPr>
                <w:rFonts w:ascii="Calibri" w:cs="Calibri" w:eastAsia="Calibri" w:hAnsi="Calibri"/>
                <w:b/>
                <w:bCs/>
                <w:color w:val="1F7A46"/>
                <w:sz w:val="19"/>
                <w:szCs w:val="19"/>
              </w:rPr>
              <w:t xml:space="preserve">Resolved</w:t>
            </w:r>
          </w:p>
        </w:tc>
      </w:tr>
      <w:tr>
        <w:trPr>
          <w:tblHeader w:val="false"/>
        </w:trPr>
        <w:tc>
          <w:tcPr>
            <w:tcW w:type="dxa" w:w="620"/>
            <w:tcBorders>
              <w:top w:val="single" w:color="C9CFDA" w:sz="4"/>
              <w:left w:val="single" w:color="C9CFDA" w:sz="4"/>
              <w:bottom w:val="single" w:color="C9CFDA" w:sz="4"/>
              <w:right w:val="single" w:color="C9CFDA" w:sz="4"/>
            </w:tcBorders>
            <w:shd w:fill="F5F6F9" w:color="auto" w:val="clear"/>
            <w:tcMar>
              <w:top w:type="dxa" w:w="70"/>
              <w:left w:type="dxa" w:w="110"/>
              <w:bottom w:type="dxa" w:w="70"/>
              <w:right w:type="dxa" w:w="110"/>
            </w:tcMar>
          </w:tcPr>
          <w:p>
            <w:pPr>
              <w:spacing w:after="0"/>
            </w:pPr>
            <w:r>
              <w:rPr>
                <w:rFonts w:ascii="Calibri" w:cs="Calibri" w:eastAsia="Calibri" w:hAnsi="Calibri"/>
                <w:b w:val="false"/>
                <w:bCs w:val="false"/>
                <w:color w:val="1D2430"/>
                <w:sz w:val="19"/>
                <w:szCs w:val="19"/>
              </w:rPr>
              <w:t xml:space="preserve">2</w:t>
            </w:r>
          </w:p>
        </w:tc>
        <w:tc>
          <w:tcPr>
            <w:tcW w:type="dxa" w:w="5250"/>
            <w:tcBorders>
              <w:top w:val="single" w:color="C9CFDA" w:sz="4"/>
              <w:left w:val="single" w:color="C9CFDA" w:sz="4"/>
              <w:bottom w:val="single" w:color="C9CFDA" w:sz="4"/>
              <w:right w:val="single" w:color="C9CFDA" w:sz="4"/>
            </w:tcBorders>
            <w:shd w:fill="F5F6F9" w:color="auto" w:val="clear"/>
            <w:tcMar>
              <w:top w:type="dxa" w:w="70"/>
              <w:left w:type="dxa" w:w="110"/>
              <w:bottom w:type="dxa" w:w="70"/>
              <w:right w:type="dxa" w:w="110"/>
            </w:tcMar>
          </w:tcPr>
          <w:p>
            <w:pPr>
              <w:spacing w:after="0"/>
            </w:pPr>
            <w:r>
              <w:rPr>
                <w:rFonts w:ascii="Calibri" w:cs="Calibri" w:eastAsia="Calibri" w:hAnsi="Calibri"/>
                <w:b w:val="false"/>
                <w:bCs w:val="false"/>
                <w:color w:val="1D2430"/>
                <w:sz w:val="19"/>
                <w:szCs w:val="19"/>
              </w:rPr>
              <w:t xml:space="preserve">Students can exceed their purchased hours without being blocked</w:t>
            </w:r>
          </w:p>
        </w:tc>
        <w:tc>
          <w:tcPr>
            <w:tcW w:type="dxa" w:w="1550"/>
            <w:tcBorders>
              <w:top w:val="single" w:color="C9CFDA" w:sz="4"/>
              <w:left w:val="single" w:color="C9CFDA" w:sz="4"/>
              <w:bottom w:val="single" w:color="C9CFDA" w:sz="4"/>
              <w:right w:val="single" w:color="C9CFDA" w:sz="4"/>
            </w:tcBorders>
            <w:shd w:fill="F5F6F9" w:color="auto" w:val="clear"/>
            <w:tcMar>
              <w:top w:type="dxa" w:w="70"/>
              <w:left w:type="dxa" w:w="110"/>
              <w:bottom w:type="dxa" w:w="70"/>
              <w:right w:type="dxa" w:w="110"/>
            </w:tcMar>
          </w:tcPr>
          <w:p>
            <w:pPr>
              <w:spacing w:after="0"/>
            </w:pPr>
            <w:r>
              <w:rPr>
                <w:rFonts w:ascii="Calibri" w:cs="Calibri" w:eastAsia="Calibri" w:hAnsi="Calibri"/>
                <w:b w:val="false"/>
                <w:bCs w:val="false"/>
                <w:color w:val="1D2430"/>
                <w:sz w:val="19"/>
                <w:szCs w:val="19"/>
              </w:rPr>
              <w:t xml:space="preserve">Medium</w:t>
            </w:r>
          </w:p>
        </w:tc>
        <w:tc>
          <w:tcPr>
            <w:tcW w:type="dxa" w:w="1940"/>
            <w:tcBorders>
              <w:top w:val="single" w:color="C9CFDA" w:sz="4"/>
              <w:left w:val="single" w:color="C9CFDA" w:sz="4"/>
              <w:bottom w:val="single" w:color="C9CFDA" w:sz="4"/>
              <w:right w:val="single" w:color="C9CFDA" w:sz="4"/>
            </w:tcBorders>
            <w:shd w:fill="F5F6F9" w:color="auto" w:val="clear"/>
            <w:tcMar>
              <w:top w:type="dxa" w:w="70"/>
              <w:left w:type="dxa" w:w="110"/>
              <w:bottom w:type="dxa" w:w="70"/>
              <w:right w:type="dxa" w:w="110"/>
            </w:tcMar>
          </w:tcPr>
          <w:p>
            <w:pPr>
              <w:spacing w:after="0"/>
            </w:pPr>
            <w:r>
              <w:rPr>
                <w:rFonts w:ascii="Calibri" w:cs="Calibri" w:eastAsia="Calibri" w:hAnsi="Calibri"/>
                <w:b w:val="false"/>
                <w:bCs w:val="false"/>
                <w:color w:val="1D2430"/>
                <w:sz w:val="19"/>
                <w:szCs w:val="19"/>
              </w:rPr>
              <w:t xml:space="preserve">Open — coach already emailed</w:t>
            </w:r>
          </w:p>
        </w:tc>
      </w:tr>
      <w:tr>
        <w:trPr>
          <w:tblHeader w:val="false"/>
        </w:trPr>
        <w:tc>
          <w:tcPr>
            <w:tcW w:type="dxa" w:w="620"/>
            <w:tcBorders>
              <w:top w:val="single" w:color="C9CFDA" w:sz="4"/>
              <w:left w:val="single" w:color="C9CFDA" w:sz="4"/>
              <w:bottom w:val="single" w:color="C9CFDA" w:sz="4"/>
              <w:right w:val="single" w:color="C9CFDA" w:sz="4"/>
            </w:tcBorders>
            <w:tcMar>
              <w:top w:type="dxa" w:w="70"/>
              <w:left w:type="dxa" w:w="110"/>
              <w:bottom w:type="dxa" w:w="70"/>
              <w:right w:type="dxa" w:w="110"/>
            </w:tcMar>
          </w:tcPr>
          <w:p>
            <w:pPr>
              <w:spacing w:after="0"/>
            </w:pPr>
            <w:r>
              <w:rPr>
                <w:rFonts w:ascii="Calibri" w:cs="Calibri" w:eastAsia="Calibri" w:hAnsi="Calibri"/>
                <w:b w:val="false"/>
                <w:bCs w:val="false"/>
                <w:color w:val="1D2430"/>
                <w:sz w:val="19"/>
                <w:szCs w:val="19"/>
              </w:rPr>
              <w:t xml:space="preserve">3</w:t>
            </w:r>
          </w:p>
        </w:tc>
        <w:tc>
          <w:tcPr>
            <w:tcW w:type="dxa" w:w="5250"/>
            <w:tcBorders>
              <w:top w:val="single" w:color="C9CFDA" w:sz="4"/>
              <w:left w:val="single" w:color="C9CFDA" w:sz="4"/>
              <w:bottom w:val="single" w:color="C9CFDA" w:sz="4"/>
              <w:right w:val="single" w:color="C9CFDA" w:sz="4"/>
            </w:tcBorders>
            <w:tcMar>
              <w:top w:type="dxa" w:w="70"/>
              <w:left w:type="dxa" w:w="110"/>
              <w:bottom w:type="dxa" w:w="70"/>
              <w:right w:type="dxa" w:w="110"/>
            </w:tcMar>
          </w:tcPr>
          <w:p>
            <w:pPr>
              <w:spacing w:after="0"/>
            </w:pPr>
            <w:r>
              <w:rPr>
                <w:rFonts w:ascii="Calibri" w:cs="Calibri" w:eastAsia="Calibri" w:hAnsi="Calibri"/>
                <w:b w:val="false"/>
                <w:bCs w:val="false"/>
                <w:color w:val="1D2430"/>
                <w:sz w:val="19"/>
                <w:szCs w:val="19"/>
              </w:rPr>
              <w:t xml:space="preserve">Certain sessions are excluded from balances until assigned by hand</w:t>
            </w:r>
          </w:p>
        </w:tc>
        <w:tc>
          <w:tcPr>
            <w:tcW w:type="dxa" w:w="1550"/>
            <w:tcBorders>
              <w:top w:val="single" w:color="C9CFDA" w:sz="4"/>
              <w:left w:val="single" w:color="C9CFDA" w:sz="4"/>
              <w:bottom w:val="single" w:color="C9CFDA" w:sz="4"/>
              <w:right w:val="single" w:color="C9CFDA" w:sz="4"/>
            </w:tcBorders>
            <w:tcMar>
              <w:top w:type="dxa" w:w="70"/>
              <w:left w:type="dxa" w:w="110"/>
              <w:bottom w:type="dxa" w:w="70"/>
              <w:right w:type="dxa" w:w="110"/>
            </w:tcMar>
          </w:tcPr>
          <w:p>
            <w:pPr>
              <w:spacing w:after="0"/>
            </w:pPr>
            <w:r>
              <w:rPr>
                <w:rFonts w:ascii="Calibri" w:cs="Calibri" w:eastAsia="Calibri" w:hAnsi="Calibri"/>
                <w:b w:val="false"/>
                <w:bCs w:val="false"/>
                <w:color w:val="1D2430"/>
                <w:sz w:val="19"/>
                <w:szCs w:val="19"/>
              </w:rPr>
              <w:t xml:space="preserve">Medium</w:t>
            </w:r>
          </w:p>
        </w:tc>
        <w:tc>
          <w:tcPr>
            <w:tcW w:type="dxa" w:w="1940"/>
            <w:tcBorders>
              <w:top w:val="single" w:color="C9CFDA" w:sz="4"/>
              <w:left w:val="single" w:color="C9CFDA" w:sz="4"/>
              <w:bottom w:val="single" w:color="C9CFDA" w:sz="4"/>
              <w:right w:val="single" w:color="C9CFDA" w:sz="4"/>
            </w:tcBorders>
            <w:tcMar>
              <w:top w:type="dxa" w:w="70"/>
              <w:left w:type="dxa" w:w="110"/>
              <w:bottom w:type="dxa" w:w="70"/>
              <w:right w:type="dxa" w:w="110"/>
            </w:tcMar>
          </w:tcPr>
          <w:p>
            <w:pPr>
              <w:spacing w:after="0"/>
            </w:pPr>
            <w:r>
              <w:rPr>
                <w:rFonts w:ascii="Calibri" w:cs="Calibri" w:eastAsia="Calibri" w:hAnsi="Calibri"/>
                <w:b w:val="false"/>
                <w:bCs w:val="false"/>
                <w:color w:val="1D2430"/>
                <w:sz w:val="19"/>
                <w:szCs w:val="19"/>
              </w:rPr>
              <w:t xml:space="preserve">Open — by design for bundles</w:t>
            </w:r>
          </w:p>
        </w:tc>
      </w:tr>
      <w:tr>
        <w:trPr>
          <w:tblHeader w:val="false"/>
        </w:trPr>
        <w:tc>
          <w:tcPr>
            <w:tcW w:type="dxa" w:w="620"/>
            <w:tcBorders>
              <w:top w:val="single" w:color="C9CFDA" w:sz="4"/>
              <w:left w:val="single" w:color="C9CFDA" w:sz="4"/>
              <w:bottom w:val="single" w:color="C9CFDA" w:sz="4"/>
              <w:right w:val="single" w:color="C9CFDA" w:sz="4"/>
            </w:tcBorders>
            <w:shd w:fill="F5F6F9" w:color="auto" w:val="clear"/>
            <w:tcMar>
              <w:top w:type="dxa" w:w="70"/>
              <w:left w:type="dxa" w:w="110"/>
              <w:bottom w:type="dxa" w:w="70"/>
              <w:right w:type="dxa" w:w="110"/>
            </w:tcMar>
          </w:tcPr>
          <w:p>
            <w:pPr>
              <w:spacing w:after="0"/>
            </w:pPr>
            <w:r>
              <w:rPr>
                <w:rFonts w:ascii="Calibri" w:cs="Calibri" w:eastAsia="Calibri" w:hAnsi="Calibri"/>
                <w:b w:val="false"/>
                <w:bCs w:val="false"/>
                <w:color w:val="1D2430"/>
                <w:sz w:val="19"/>
                <w:szCs w:val="19"/>
              </w:rPr>
              <w:t xml:space="preserve">4</w:t>
            </w:r>
          </w:p>
        </w:tc>
        <w:tc>
          <w:tcPr>
            <w:tcW w:type="dxa" w:w="5250"/>
            <w:tcBorders>
              <w:top w:val="single" w:color="C9CFDA" w:sz="4"/>
              <w:left w:val="single" w:color="C9CFDA" w:sz="4"/>
              <w:bottom w:val="single" w:color="C9CFDA" w:sz="4"/>
              <w:right w:val="single" w:color="C9CFDA" w:sz="4"/>
            </w:tcBorders>
            <w:shd w:fill="F5F6F9" w:color="auto" w:val="clear"/>
            <w:tcMar>
              <w:top w:type="dxa" w:w="70"/>
              <w:left w:type="dxa" w:w="110"/>
              <w:bottom w:type="dxa" w:w="70"/>
              <w:right w:type="dxa" w:w="110"/>
            </w:tcMar>
          </w:tcPr>
          <w:p>
            <w:pPr>
              <w:spacing w:after="0"/>
            </w:pPr>
            <w:r>
              <w:rPr>
                <w:rFonts w:ascii="Calibri" w:cs="Calibri" w:eastAsia="Calibri" w:hAnsi="Calibri"/>
                <w:b w:val="false"/>
                <w:bCs w:val="false"/>
                <w:color w:val="1D2430"/>
                <w:sz w:val="19"/>
                <w:szCs w:val="19"/>
              </w:rPr>
              <w:t xml:space="preserve">Hour balances are recalculated on demand rather than stored</w:t>
            </w:r>
          </w:p>
        </w:tc>
        <w:tc>
          <w:tcPr>
            <w:tcW w:type="dxa" w:w="1550"/>
            <w:tcBorders>
              <w:top w:val="single" w:color="C9CFDA" w:sz="4"/>
              <w:left w:val="single" w:color="C9CFDA" w:sz="4"/>
              <w:bottom w:val="single" w:color="C9CFDA" w:sz="4"/>
              <w:right w:val="single" w:color="C9CFDA" w:sz="4"/>
            </w:tcBorders>
            <w:shd w:fill="F5F6F9" w:color="auto" w:val="clear"/>
            <w:tcMar>
              <w:top w:type="dxa" w:w="70"/>
              <w:left w:type="dxa" w:w="110"/>
              <w:bottom w:type="dxa" w:w="70"/>
              <w:right w:type="dxa" w:w="110"/>
            </w:tcMar>
          </w:tcPr>
          <w:p>
            <w:pPr>
              <w:spacing w:after="0"/>
            </w:pPr>
            <w:r>
              <w:rPr>
                <w:rFonts w:ascii="Calibri" w:cs="Calibri" w:eastAsia="Calibri" w:hAnsi="Calibri"/>
                <w:b w:val="false"/>
                <w:bCs w:val="false"/>
                <w:color w:val="1D2430"/>
                <w:sz w:val="19"/>
                <w:szCs w:val="19"/>
              </w:rPr>
              <w:t xml:space="preserve">Medium</w:t>
            </w:r>
          </w:p>
        </w:tc>
        <w:tc>
          <w:tcPr>
            <w:tcW w:type="dxa" w:w="1940"/>
            <w:tcBorders>
              <w:top w:val="single" w:color="C9CFDA" w:sz="4"/>
              <w:left w:val="single" w:color="C9CFDA" w:sz="4"/>
              <w:bottom w:val="single" w:color="C9CFDA" w:sz="4"/>
              <w:right w:val="single" w:color="C9CFDA" w:sz="4"/>
            </w:tcBorders>
            <w:shd w:fill="F5F6F9" w:color="auto" w:val="clear"/>
            <w:tcMar>
              <w:top w:type="dxa" w:w="70"/>
              <w:left w:type="dxa" w:w="110"/>
              <w:bottom w:type="dxa" w:w="70"/>
              <w:right w:type="dxa" w:w="110"/>
            </w:tcMar>
          </w:tcPr>
          <w:p>
            <w:pPr>
              <w:spacing w:after="0"/>
            </w:pPr>
            <w:r>
              <w:rPr>
                <w:rFonts w:ascii="Calibri" w:cs="Calibri" w:eastAsia="Calibri" w:hAnsi="Calibri"/>
                <w:b/>
                <w:bCs/>
                <w:color w:val="1F7A46"/>
                <w:sz w:val="19"/>
                <w:szCs w:val="19"/>
              </w:rPr>
              <w:t xml:space="preserve">Resolved</w:t>
            </w:r>
          </w:p>
        </w:tc>
      </w:tr>
      <w:tr>
        <w:trPr>
          <w:tblHeader w:val="false"/>
        </w:trPr>
        <w:tc>
          <w:tcPr>
            <w:tcW w:type="dxa" w:w="620"/>
            <w:tcBorders>
              <w:top w:val="single" w:color="C9CFDA" w:sz="4"/>
              <w:left w:val="single" w:color="C9CFDA" w:sz="4"/>
              <w:bottom w:val="single" w:color="C9CFDA" w:sz="4"/>
              <w:right w:val="single" w:color="C9CFDA" w:sz="4"/>
            </w:tcBorders>
            <w:tcMar>
              <w:top w:type="dxa" w:w="70"/>
              <w:left w:type="dxa" w:w="110"/>
              <w:bottom w:type="dxa" w:w="70"/>
              <w:right w:type="dxa" w:w="110"/>
            </w:tcMar>
          </w:tcPr>
          <w:p>
            <w:pPr>
              <w:spacing w:after="0"/>
            </w:pPr>
            <w:r>
              <w:rPr>
                <w:rFonts w:ascii="Calibri" w:cs="Calibri" w:eastAsia="Calibri" w:hAnsi="Calibri"/>
                <w:b w:val="false"/>
                <w:bCs w:val="false"/>
                <w:color w:val="1D2430"/>
                <w:sz w:val="19"/>
                <w:szCs w:val="19"/>
              </w:rPr>
              <w:t xml:space="preserve">5</w:t>
            </w:r>
          </w:p>
        </w:tc>
        <w:tc>
          <w:tcPr>
            <w:tcW w:type="dxa" w:w="5250"/>
            <w:tcBorders>
              <w:top w:val="single" w:color="C9CFDA" w:sz="4"/>
              <w:left w:val="single" w:color="C9CFDA" w:sz="4"/>
              <w:bottom w:val="single" w:color="C9CFDA" w:sz="4"/>
              <w:right w:val="single" w:color="C9CFDA" w:sz="4"/>
            </w:tcBorders>
            <w:tcMar>
              <w:top w:type="dxa" w:w="70"/>
              <w:left w:type="dxa" w:w="110"/>
              <w:bottom w:type="dxa" w:w="70"/>
              <w:right w:type="dxa" w:w="110"/>
            </w:tcMar>
          </w:tcPr>
          <w:p>
            <w:pPr>
              <w:spacing w:after="0"/>
            </w:pPr>
            <w:r>
              <w:rPr>
                <w:rFonts w:ascii="Calibri" w:cs="Calibri" w:eastAsia="Calibri" w:hAnsi="Calibri"/>
                <w:b w:val="false"/>
                <w:bCs w:val="false"/>
                <w:color w:val="1D2430"/>
                <w:sz w:val="19"/>
                <w:szCs w:val="19"/>
              </w:rPr>
              <w:t xml:space="preserve">No pricing model, so monetary amounts cannot be produced</w:t>
            </w:r>
          </w:p>
        </w:tc>
        <w:tc>
          <w:tcPr>
            <w:tcW w:type="dxa" w:w="1550"/>
            <w:tcBorders>
              <w:top w:val="single" w:color="C9CFDA" w:sz="4"/>
              <w:left w:val="single" w:color="C9CFDA" w:sz="4"/>
              <w:bottom w:val="single" w:color="C9CFDA" w:sz="4"/>
              <w:right w:val="single" w:color="C9CFDA" w:sz="4"/>
            </w:tcBorders>
            <w:tcMar>
              <w:top w:type="dxa" w:w="70"/>
              <w:left w:type="dxa" w:w="110"/>
              <w:bottom w:type="dxa" w:w="70"/>
              <w:right w:type="dxa" w:w="110"/>
            </w:tcMar>
          </w:tcPr>
          <w:p>
            <w:pPr>
              <w:spacing w:after="0"/>
            </w:pPr>
            <w:r>
              <w:rPr>
                <w:rFonts w:ascii="Calibri" w:cs="Calibri" w:eastAsia="Calibri" w:hAnsi="Calibri"/>
                <w:b w:val="false"/>
                <w:bCs w:val="false"/>
                <w:color w:val="1D2430"/>
                <w:sz w:val="19"/>
                <w:szCs w:val="19"/>
              </w:rPr>
              <w:t xml:space="preserve">High</w:t>
            </w:r>
          </w:p>
        </w:tc>
        <w:tc>
          <w:tcPr>
            <w:tcW w:type="dxa" w:w="1940"/>
            <w:tcBorders>
              <w:top w:val="single" w:color="C9CFDA" w:sz="4"/>
              <w:left w:val="single" w:color="C9CFDA" w:sz="4"/>
              <w:bottom w:val="single" w:color="C9CFDA" w:sz="4"/>
              <w:right w:val="single" w:color="C9CFDA" w:sz="4"/>
            </w:tcBorders>
            <w:tcMar>
              <w:top w:type="dxa" w:w="70"/>
              <w:left w:type="dxa" w:w="110"/>
              <w:bottom w:type="dxa" w:w="70"/>
              <w:right w:type="dxa" w:w="110"/>
            </w:tcMar>
          </w:tcPr>
          <w:p>
            <w:pPr>
              <w:spacing w:after="0"/>
            </w:pPr>
            <w:r>
              <w:rPr>
                <w:rFonts w:ascii="Calibri" w:cs="Calibri" w:eastAsia="Calibri" w:hAnsi="Calibri"/>
                <w:b w:val="false"/>
                <w:bCs w:val="false"/>
                <w:color w:val="1D2430"/>
                <w:sz w:val="19"/>
                <w:szCs w:val="19"/>
              </w:rPr>
              <w:t xml:space="preserve">Open</w:t>
            </w:r>
          </w:p>
        </w:tc>
      </w:tr>
      <w:tr>
        <w:trPr>
          <w:tblHeader w:val="false"/>
        </w:trPr>
        <w:tc>
          <w:tcPr>
            <w:tcW w:type="dxa" w:w="620"/>
            <w:tcBorders>
              <w:top w:val="single" w:color="C9CFDA" w:sz="4"/>
              <w:left w:val="single" w:color="C9CFDA" w:sz="4"/>
              <w:bottom w:val="single" w:color="C9CFDA" w:sz="4"/>
              <w:right w:val="single" w:color="C9CFDA" w:sz="4"/>
            </w:tcBorders>
            <w:shd w:fill="F5F6F9" w:color="auto" w:val="clear"/>
            <w:tcMar>
              <w:top w:type="dxa" w:w="70"/>
              <w:left w:type="dxa" w:w="110"/>
              <w:bottom w:type="dxa" w:w="70"/>
              <w:right w:type="dxa" w:w="110"/>
            </w:tcMar>
          </w:tcPr>
          <w:p>
            <w:pPr>
              <w:spacing w:after="0"/>
            </w:pPr>
            <w:r>
              <w:rPr>
                <w:rFonts w:ascii="Calibri" w:cs="Calibri" w:eastAsia="Calibri" w:hAnsi="Calibri"/>
                <w:b w:val="false"/>
                <w:bCs w:val="false"/>
                <w:color w:val="1D2430"/>
                <w:sz w:val="19"/>
                <w:szCs w:val="19"/>
              </w:rPr>
              <w:t xml:space="preserve">6</w:t>
            </w:r>
          </w:p>
        </w:tc>
        <w:tc>
          <w:tcPr>
            <w:tcW w:type="dxa" w:w="5250"/>
            <w:tcBorders>
              <w:top w:val="single" w:color="C9CFDA" w:sz="4"/>
              <w:left w:val="single" w:color="C9CFDA" w:sz="4"/>
              <w:bottom w:val="single" w:color="C9CFDA" w:sz="4"/>
              <w:right w:val="single" w:color="C9CFDA" w:sz="4"/>
            </w:tcBorders>
            <w:shd w:fill="F5F6F9" w:color="auto" w:val="clear"/>
            <w:tcMar>
              <w:top w:type="dxa" w:w="70"/>
              <w:left w:type="dxa" w:w="110"/>
              <w:bottom w:type="dxa" w:w="70"/>
              <w:right w:type="dxa" w:w="110"/>
            </w:tcMar>
          </w:tcPr>
          <w:p>
            <w:pPr>
              <w:spacing w:after="0"/>
            </w:pPr>
            <w:r>
              <w:rPr>
                <w:rFonts w:ascii="Calibri" w:cs="Calibri" w:eastAsia="Calibri" w:hAnsi="Calibri"/>
                <w:b w:val="false"/>
                <w:bCs w:val="false"/>
                <w:color w:val="1D2430"/>
                <w:sz w:val="19"/>
                <w:szCs w:val="19"/>
              </w:rPr>
              <w:t xml:space="preserve">No documented or tested backup-and-restore procedure</w:t>
            </w:r>
          </w:p>
        </w:tc>
        <w:tc>
          <w:tcPr>
            <w:tcW w:type="dxa" w:w="1550"/>
            <w:tcBorders>
              <w:top w:val="single" w:color="C9CFDA" w:sz="4"/>
              <w:left w:val="single" w:color="C9CFDA" w:sz="4"/>
              <w:bottom w:val="single" w:color="C9CFDA" w:sz="4"/>
              <w:right w:val="single" w:color="C9CFDA" w:sz="4"/>
            </w:tcBorders>
            <w:shd w:fill="F5F6F9" w:color="auto" w:val="clear"/>
            <w:tcMar>
              <w:top w:type="dxa" w:w="70"/>
              <w:left w:type="dxa" w:w="110"/>
              <w:bottom w:type="dxa" w:w="70"/>
              <w:right w:type="dxa" w:w="110"/>
            </w:tcMar>
          </w:tcPr>
          <w:p>
            <w:pPr>
              <w:spacing w:after="0"/>
            </w:pPr>
            <w:r>
              <w:rPr>
                <w:rFonts w:ascii="Calibri" w:cs="Calibri" w:eastAsia="Calibri" w:hAnsi="Calibri"/>
                <w:b w:val="false"/>
                <w:bCs w:val="false"/>
                <w:color w:val="1D2430"/>
                <w:sz w:val="19"/>
                <w:szCs w:val="19"/>
              </w:rPr>
              <w:t xml:space="preserve">High</w:t>
            </w:r>
          </w:p>
        </w:tc>
        <w:tc>
          <w:tcPr>
            <w:tcW w:type="dxa" w:w="1940"/>
            <w:tcBorders>
              <w:top w:val="single" w:color="C9CFDA" w:sz="4"/>
              <w:left w:val="single" w:color="C9CFDA" w:sz="4"/>
              <w:bottom w:val="single" w:color="C9CFDA" w:sz="4"/>
              <w:right w:val="single" w:color="C9CFDA" w:sz="4"/>
            </w:tcBorders>
            <w:shd w:fill="F5F6F9" w:color="auto" w:val="clear"/>
            <w:tcMar>
              <w:top w:type="dxa" w:w="70"/>
              <w:left w:type="dxa" w:w="110"/>
              <w:bottom w:type="dxa" w:w="70"/>
              <w:right w:type="dxa" w:w="110"/>
            </w:tcMar>
          </w:tcPr>
          <w:p>
            <w:pPr>
              <w:spacing w:after="0"/>
            </w:pPr>
            <w:r>
              <w:rPr>
                <w:rFonts w:ascii="Calibri" w:cs="Calibri" w:eastAsia="Calibri" w:hAnsi="Calibri"/>
                <w:b w:val="false"/>
                <w:bCs w:val="false"/>
                <w:color w:val="1D2430"/>
                <w:sz w:val="19"/>
                <w:szCs w:val="19"/>
              </w:rPr>
              <w:t xml:space="preserve">Open</w:t>
            </w:r>
          </w:p>
        </w:tc>
      </w:tr>
      <w:tr>
        <w:trPr>
          <w:tblHeader w:val="false"/>
        </w:trPr>
        <w:tc>
          <w:tcPr>
            <w:tcW w:type="dxa" w:w="620"/>
            <w:tcBorders>
              <w:top w:val="single" w:color="C9CFDA" w:sz="4"/>
              <w:left w:val="single" w:color="C9CFDA" w:sz="4"/>
              <w:bottom w:val="single" w:color="C9CFDA" w:sz="4"/>
              <w:right w:val="single" w:color="C9CFDA" w:sz="4"/>
            </w:tcBorders>
            <w:tcMar>
              <w:top w:type="dxa" w:w="70"/>
              <w:left w:type="dxa" w:w="110"/>
              <w:bottom w:type="dxa" w:w="70"/>
              <w:right w:type="dxa" w:w="110"/>
            </w:tcMar>
          </w:tcPr>
          <w:p>
            <w:pPr>
              <w:spacing w:after="0"/>
            </w:pPr>
            <w:r>
              <w:rPr>
                <w:rFonts w:ascii="Calibri" w:cs="Calibri" w:eastAsia="Calibri" w:hAnsi="Calibri"/>
                <w:b w:val="false"/>
                <w:bCs w:val="false"/>
                <w:color w:val="1D2430"/>
                <w:sz w:val="19"/>
                <w:szCs w:val="19"/>
              </w:rPr>
              <w:t xml:space="preserve">7</w:t>
            </w:r>
          </w:p>
        </w:tc>
        <w:tc>
          <w:tcPr>
            <w:tcW w:type="dxa" w:w="5250"/>
            <w:tcBorders>
              <w:top w:val="single" w:color="C9CFDA" w:sz="4"/>
              <w:left w:val="single" w:color="C9CFDA" w:sz="4"/>
              <w:bottom w:val="single" w:color="C9CFDA" w:sz="4"/>
              <w:right w:val="single" w:color="C9CFDA" w:sz="4"/>
            </w:tcBorders>
            <w:tcMar>
              <w:top w:type="dxa" w:w="70"/>
              <w:left w:type="dxa" w:w="110"/>
              <w:bottom w:type="dxa" w:w="70"/>
              <w:right w:type="dxa" w:w="110"/>
            </w:tcMar>
          </w:tcPr>
          <w:p>
            <w:pPr>
              <w:spacing w:after="0"/>
            </w:pPr>
            <w:r>
              <w:rPr>
                <w:rFonts w:ascii="Calibri" w:cs="Calibri" w:eastAsia="Calibri" w:hAnsi="Calibri"/>
                <w:b w:val="false"/>
                <w:bCs w:val="false"/>
                <w:color w:val="1D2430"/>
                <w:sz w:val="19"/>
                <w:szCs w:val="19"/>
              </w:rPr>
              <w:t xml:space="preserve">Automated reminder emails are not confirmed as active</w:t>
            </w:r>
          </w:p>
        </w:tc>
        <w:tc>
          <w:tcPr>
            <w:tcW w:type="dxa" w:w="1550"/>
            <w:tcBorders>
              <w:top w:val="single" w:color="C9CFDA" w:sz="4"/>
              <w:left w:val="single" w:color="C9CFDA" w:sz="4"/>
              <w:bottom w:val="single" w:color="C9CFDA" w:sz="4"/>
              <w:right w:val="single" w:color="C9CFDA" w:sz="4"/>
            </w:tcBorders>
            <w:tcMar>
              <w:top w:type="dxa" w:w="70"/>
              <w:left w:type="dxa" w:w="110"/>
              <w:bottom w:type="dxa" w:w="70"/>
              <w:right w:type="dxa" w:w="110"/>
            </w:tcMar>
          </w:tcPr>
          <w:p>
            <w:pPr>
              <w:spacing w:after="0"/>
            </w:pPr>
            <w:r>
              <w:rPr>
                <w:rFonts w:ascii="Calibri" w:cs="Calibri" w:eastAsia="Calibri" w:hAnsi="Calibri"/>
                <w:b w:val="false"/>
                <w:bCs w:val="false"/>
                <w:color w:val="1D2430"/>
                <w:sz w:val="19"/>
                <w:szCs w:val="19"/>
              </w:rPr>
              <w:t xml:space="preserve">Medium</w:t>
            </w:r>
          </w:p>
        </w:tc>
        <w:tc>
          <w:tcPr>
            <w:tcW w:type="dxa" w:w="1940"/>
            <w:tcBorders>
              <w:top w:val="single" w:color="C9CFDA" w:sz="4"/>
              <w:left w:val="single" w:color="C9CFDA" w:sz="4"/>
              <w:bottom w:val="single" w:color="C9CFDA" w:sz="4"/>
              <w:right w:val="single" w:color="C9CFDA" w:sz="4"/>
            </w:tcBorders>
            <w:tcMar>
              <w:top w:type="dxa" w:w="70"/>
              <w:left w:type="dxa" w:w="110"/>
              <w:bottom w:type="dxa" w:w="70"/>
              <w:right w:type="dxa" w:w="110"/>
            </w:tcMar>
          </w:tcPr>
          <w:p>
            <w:pPr>
              <w:spacing w:after="0"/>
            </w:pPr>
            <w:r>
              <w:rPr>
                <w:rFonts w:ascii="Calibri" w:cs="Calibri" w:eastAsia="Calibri" w:hAnsi="Calibri"/>
                <w:b w:val="false"/>
                <w:bCs w:val="false"/>
                <w:color w:val="1D2430"/>
                <w:sz w:val="19"/>
                <w:szCs w:val="19"/>
              </w:rPr>
              <w:t xml:space="preserve">Open</w:t>
            </w:r>
          </w:p>
        </w:tc>
      </w:tr>
      <w:tr>
        <w:trPr>
          <w:tblHeader w:val="false"/>
        </w:trPr>
        <w:tc>
          <w:tcPr>
            <w:tcW w:type="dxa" w:w="620"/>
            <w:tcBorders>
              <w:top w:val="single" w:color="C9CFDA" w:sz="4"/>
              <w:left w:val="single" w:color="C9CFDA" w:sz="4"/>
              <w:bottom w:val="single" w:color="C9CFDA" w:sz="4"/>
              <w:right w:val="single" w:color="C9CFDA" w:sz="4"/>
            </w:tcBorders>
            <w:shd w:fill="F5F6F9" w:color="auto" w:val="clear"/>
            <w:tcMar>
              <w:top w:type="dxa" w:w="70"/>
              <w:left w:type="dxa" w:w="110"/>
              <w:bottom w:type="dxa" w:w="70"/>
              <w:right w:type="dxa" w:w="110"/>
            </w:tcMar>
          </w:tcPr>
          <w:p>
            <w:pPr>
              <w:spacing w:after="0"/>
            </w:pPr>
            <w:r>
              <w:rPr>
                <w:rFonts w:ascii="Calibri" w:cs="Calibri" w:eastAsia="Calibri" w:hAnsi="Calibri"/>
                <w:b w:val="false"/>
                <w:bCs w:val="false"/>
                <w:color w:val="1D2430"/>
                <w:sz w:val="19"/>
                <w:szCs w:val="19"/>
              </w:rPr>
              <w:t xml:space="preserve">8</w:t>
            </w:r>
          </w:p>
        </w:tc>
        <w:tc>
          <w:tcPr>
            <w:tcW w:type="dxa" w:w="5250"/>
            <w:tcBorders>
              <w:top w:val="single" w:color="C9CFDA" w:sz="4"/>
              <w:left w:val="single" w:color="C9CFDA" w:sz="4"/>
              <w:bottom w:val="single" w:color="C9CFDA" w:sz="4"/>
              <w:right w:val="single" w:color="C9CFDA" w:sz="4"/>
            </w:tcBorders>
            <w:shd w:fill="F5F6F9" w:color="auto" w:val="clear"/>
            <w:tcMar>
              <w:top w:type="dxa" w:w="70"/>
              <w:left w:type="dxa" w:w="110"/>
              <w:bottom w:type="dxa" w:w="70"/>
              <w:right w:type="dxa" w:w="110"/>
            </w:tcMar>
          </w:tcPr>
          <w:p>
            <w:pPr>
              <w:spacing w:after="0"/>
            </w:pPr>
            <w:r>
              <w:rPr>
                <w:rFonts w:ascii="Calibri" w:cs="Calibri" w:eastAsia="Calibri" w:hAnsi="Calibri"/>
                <w:b w:val="false"/>
                <w:bCs w:val="false"/>
                <w:color w:val="1D2430"/>
                <w:sz w:val="19"/>
                <w:szCs w:val="19"/>
              </w:rPr>
              <w:t xml:space="preserve">Two account-security protections are disabled</w:t>
            </w:r>
          </w:p>
        </w:tc>
        <w:tc>
          <w:tcPr>
            <w:tcW w:type="dxa" w:w="1550"/>
            <w:tcBorders>
              <w:top w:val="single" w:color="C9CFDA" w:sz="4"/>
              <w:left w:val="single" w:color="C9CFDA" w:sz="4"/>
              <w:bottom w:val="single" w:color="C9CFDA" w:sz="4"/>
              <w:right w:val="single" w:color="C9CFDA" w:sz="4"/>
            </w:tcBorders>
            <w:shd w:fill="F5F6F9" w:color="auto" w:val="clear"/>
            <w:tcMar>
              <w:top w:type="dxa" w:w="70"/>
              <w:left w:type="dxa" w:w="110"/>
              <w:bottom w:type="dxa" w:w="70"/>
              <w:right w:type="dxa" w:w="110"/>
            </w:tcMar>
          </w:tcPr>
          <w:p>
            <w:pPr>
              <w:spacing w:after="0"/>
            </w:pPr>
            <w:r>
              <w:rPr>
                <w:rFonts w:ascii="Calibri" w:cs="Calibri" w:eastAsia="Calibri" w:hAnsi="Calibri"/>
                <w:b w:val="false"/>
                <w:bCs w:val="false"/>
                <w:color w:val="1D2430"/>
                <w:sz w:val="19"/>
                <w:szCs w:val="19"/>
              </w:rPr>
              <w:t xml:space="preserve">Low</w:t>
            </w:r>
          </w:p>
        </w:tc>
        <w:tc>
          <w:tcPr>
            <w:tcW w:type="dxa" w:w="1940"/>
            <w:tcBorders>
              <w:top w:val="single" w:color="C9CFDA" w:sz="4"/>
              <w:left w:val="single" w:color="C9CFDA" w:sz="4"/>
              <w:bottom w:val="single" w:color="C9CFDA" w:sz="4"/>
              <w:right w:val="single" w:color="C9CFDA" w:sz="4"/>
            </w:tcBorders>
            <w:shd w:fill="F5F6F9" w:color="auto" w:val="clear"/>
            <w:tcMar>
              <w:top w:type="dxa" w:w="70"/>
              <w:left w:type="dxa" w:w="110"/>
              <w:bottom w:type="dxa" w:w="70"/>
              <w:right w:type="dxa" w:w="110"/>
            </w:tcMar>
          </w:tcPr>
          <w:p>
            <w:pPr>
              <w:spacing w:after="0"/>
            </w:pPr>
            <w:r>
              <w:rPr>
                <w:rFonts w:ascii="Calibri" w:cs="Calibri" w:eastAsia="Calibri" w:hAnsi="Calibri"/>
                <w:b w:val="false"/>
                <w:bCs w:val="false"/>
                <w:color w:val="1D2430"/>
                <w:sz w:val="19"/>
                <w:szCs w:val="19"/>
              </w:rPr>
              <w:t xml:space="preserve">Open</w:t>
            </w:r>
          </w:p>
        </w:tc>
      </w:tr>
    </w:tbl>
    <w:p>
      <w:r>
        <w:br w:type="page"/>
      </w:r>
    </w:p>
    <w:p>
      <w:pPr>
        <w:pStyle w:val="Heading1"/>
        <w:keepNext/>
        <w:spacing w:after="60" w:before="340"/>
      </w:pPr>
      <w:r>
        <w:rPr>
          <w:rFonts w:ascii="Calibri" w:cs="Calibri" w:eastAsia="Calibri" w:hAnsi="Calibri"/>
          <w:b/>
          <w:bCs/>
          <w:color w:val="22315B"/>
          <w:sz w:val="28"/>
          <w:szCs w:val="28"/>
        </w:rPr>
        <w:t xml:space="preserve">2.  Problems identified</w:t>
      </w:r>
    </w:p>
    <w:p>
      <w:pPr>
        <w:spacing w:after="160" w:line="288"/>
      </w:pPr>
      <w:r>
        <w:rPr>
          <w:rFonts w:ascii="Cambria" w:cs="Cambria" w:eastAsia="Cambria" w:hAnsi="Cambria"/>
          <w:color w:val="1D2430"/>
          <w:sz w:val="21"/>
          <w:szCs w:val="21"/>
        </w:rPr>
        <w:t xml:space="preserve">The review found the following issues. Each is described in plain terms in the sections that follow.</w:t>
      </w:r>
    </w:p>
    <w:p>
      <w:pPr>
        <w:pStyle w:val="Heading2"/>
        <w:keepNext/>
        <w:spacing w:after="60" w:before="260"/>
      </w:pPr>
      <w:r>
        <w:rPr>
          <w:rFonts w:ascii="Calibri" w:cs="Calibri" w:eastAsia="Calibri" w:hAnsi="Calibri"/>
          <w:b/>
          <w:bCs/>
          <w:color w:val="22315B"/>
          <w:sz w:val="23"/>
          <w:szCs w:val="23"/>
        </w:rPr>
        <w:t xml:space="preserve">Logic issues</w:t>
      </w:r>
    </w:p>
    <w:p>
      <w:pPr>
        <w:pStyle w:val="ListParagraph"/>
        <w:numPr>
          <w:ilvl w:val="0"/>
          <w:numId w:val="2"/>
        </w:numPr>
        <w:spacing w:after="80" w:line="282"/>
      </w:pPr>
      <w:r>
        <w:rPr>
          <w:rFonts w:ascii="Cambria" w:cs="Cambria" w:eastAsia="Cambria" w:hAnsi="Cambria"/>
          <w:color w:val="1D2430"/>
          <w:sz w:val="21"/>
          <w:szCs w:val="21"/>
        </w:rPr>
        <w:t xml:space="preserve">A month-end summary could be locked while showing out-of-date totals. (Resolved during this review.)</w:t>
      </w:r>
    </w:p>
    <w:p>
      <w:pPr>
        <w:pStyle w:val="ListParagraph"/>
        <w:numPr>
          <w:ilvl w:val="0"/>
          <w:numId w:val="2"/>
        </w:numPr>
        <w:spacing w:after="80" w:line="282"/>
      </w:pPr>
      <w:r>
        <w:rPr>
          <w:rFonts w:ascii="Cambria" w:cs="Cambria" w:eastAsia="Cambria" w:hAnsi="Cambria"/>
          <w:color w:val="1D2430"/>
          <w:sz w:val="21"/>
          <w:szCs w:val="21"/>
        </w:rPr>
        <w:t xml:space="preserve">A student can be recorded as using more hours than they purchased, without the system stopping it.</w:t>
      </w:r>
    </w:p>
    <w:p>
      <w:pPr>
        <w:pStyle w:val="ListParagraph"/>
        <w:numPr>
          <w:ilvl w:val="0"/>
          <w:numId w:val="2"/>
        </w:numPr>
        <w:spacing w:after="80" w:line="282"/>
      </w:pPr>
      <w:r>
        <w:rPr>
          <w:rFonts w:ascii="Cambria" w:cs="Cambria" w:eastAsia="Cambria" w:hAnsi="Cambria"/>
          <w:color w:val="1D2430"/>
          <w:sz w:val="21"/>
          <w:szCs w:val="21"/>
        </w:rPr>
        <w:t xml:space="preserve">For students on a bundle, some sessions are not counted in their balance until a coach assigns them by hand.</w:t>
      </w:r>
    </w:p>
    <w:p>
      <w:pPr>
        <w:pStyle w:val="ListParagraph"/>
        <w:numPr>
          <w:ilvl w:val="0"/>
          <w:numId w:val="2"/>
        </w:numPr>
        <w:spacing w:after="80" w:line="282"/>
      </w:pPr>
      <w:r>
        <w:rPr>
          <w:rFonts w:ascii="Cambria" w:cs="Cambria" w:eastAsia="Cambria" w:hAnsi="Cambria"/>
          <w:color w:val="1D2430"/>
          <w:sz w:val="21"/>
          <w:szCs w:val="21"/>
        </w:rPr>
        <w:t xml:space="preserve">Hour balances are re-calculated every time a page opens, rather than kept as a stored figure. (Resolved during this review.)</w:t>
      </w:r>
    </w:p>
    <w:p>
      <w:pPr>
        <w:pStyle w:val="Heading2"/>
        <w:keepNext/>
        <w:spacing w:after="60" w:before="260"/>
      </w:pPr>
      <w:r>
        <w:rPr>
          <w:rFonts w:ascii="Calibri" w:cs="Calibri" w:eastAsia="Calibri" w:hAnsi="Calibri"/>
          <w:b/>
          <w:bCs/>
          <w:color w:val="22315B"/>
          <w:sz w:val="23"/>
          <w:szCs w:val="23"/>
        </w:rPr>
        <w:t xml:space="preserve">Capabilities not yet built</w:t>
      </w:r>
    </w:p>
    <w:p>
      <w:pPr>
        <w:pStyle w:val="ListParagraph"/>
        <w:numPr>
          <w:ilvl w:val="0"/>
          <w:numId w:val="2"/>
        </w:numPr>
        <w:spacing w:after="80" w:line="282"/>
      </w:pPr>
      <w:r>
        <w:rPr>
          <w:rFonts w:ascii="Cambria" w:cs="Cambria" w:eastAsia="Cambria" w:hAnsi="Cambria"/>
          <w:color w:val="1D2430"/>
          <w:sz w:val="21"/>
          <w:szCs w:val="21"/>
        </w:rPr>
        <w:t xml:space="preserve">The system holds no prices, so it cannot produce real payment or invoice amounts — only hour counts.</w:t>
      </w:r>
    </w:p>
    <w:p>
      <w:pPr>
        <w:pStyle w:val="ListParagraph"/>
        <w:numPr>
          <w:ilvl w:val="0"/>
          <w:numId w:val="2"/>
        </w:numPr>
        <w:spacing w:after="80" w:line="282"/>
      </w:pPr>
      <w:r>
        <w:rPr>
          <w:rFonts w:ascii="Cambria" w:cs="Cambria" w:eastAsia="Cambria" w:hAnsi="Cambria"/>
          <w:color w:val="1D2430"/>
          <w:sz w:val="21"/>
          <w:szCs w:val="21"/>
        </w:rPr>
        <w:t xml:space="preserve">There is no written, tested procedure for backing up and restoring the data.</w:t>
      </w:r>
    </w:p>
    <w:p>
      <w:pPr>
        <w:pStyle w:val="ListParagraph"/>
        <w:numPr>
          <w:ilvl w:val="0"/>
          <w:numId w:val="2"/>
        </w:numPr>
        <w:spacing w:after="80" w:line="282"/>
      </w:pPr>
      <w:r>
        <w:rPr>
          <w:rFonts w:ascii="Cambria" w:cs="Cambria" w:eastAsia="Cambria" w:hAnsi="Cambria"/>
          <w:color w:val="1D2430"/>
          <w:sz w:val="21"/>
          <w:szCs w:val="21"/>
        </w:rPr>
        <w:t xml:space="preserve">The automated reminder emails are not confirmed to be switched on in the live system.</w:t>
      </w:r>
    </w:p>
    <w:p>
      <w:pPr>
        <w:pStyle w:val="ListParagraph"/>
        <w:numPr>
          <w:ilvl w:val="0"/>
          <w:numId w:val="2"/>
        </w:numPr>
        <w:spacing w:after="80" w:line="282"/>
      </w:pPr>
      <w:r>
        <w:rPr>
          <w:rFonts w:ascii="Cambria" w:cs="Cambria" w:eastAsia="Cambria" w:hAnsi="Cambria"/>
          <w:color w:val="1D2430"/>
          <w:sz w:val="21"/>
          <w:szCs w:val="21"/>
        </w:rPr>
        <w:t xml:space="preserve">Two standard account-security protections are currently turned off.</w:t>
      </w:r>
    </w:p>
    <w:p>
      <w:r>
        <w:br w:type="page"/>
      </w:r>
    </w:p>
    <w:p>
      <w:pPr>
        <w:pStyle w:val="Heading1"/>
        <w:keepNext/>
        <w:spacing w:after="60" w:before="340"/>
      </w:pPr>
      <w:r>
        <w:rPr>
          <w:rFonts w:ascii="Calibri" w:cs="Calibri" w:eastAsia="Calibri" w:hAnsi="Calibri"/>
          <w:b/>
          <w:bCs/>
          <w:color w:val="22315B"/>
          <w:sz w:val="28"/>
          <w:szCs w:val="28"/>
        </w:rPr>
        <w:t xml:space="preserve">3.  Logic findings in detail</w:t>
      </w:r>
    </w:p>
    <w:p>
      <w:pPr>
        <w:pStyle w:val="Heading2"/>
        <w:keepNext/>
        <w:spacing w:after="60" w:before="260"/>
      </w:pPr>
      <w:r>
        <w:rPr>
          <w:rFonts w:ascii="Calibri" w:cs="Calibri" w:eastAsia="Calibri" w:hAnsi="Calibri"/>
          <w:b/>
          <w:bCs/>
          <w:color w:val="22315B"/>
          <w:sz w:val="23"/>
          <w:szCs w:val="23"/>
        </w:rPr>
        <w:t xml:space="preserve">3.1  Month-end summary could be locked with out-of-date totals</w:t>
      </w:r>
    </w:p>
    <w:p>
      <w:pPr>
        <w:spacing w:after="120"/>
      </w:pPr>
      <w:r>
        <w:rPr>
          <w:rFonts w:ascii="Calibri" w:cs="Calibri" w:eastAsia="Calibri" w:hAnsi="Calibri"/>
          <w:color w:val="5B6472"/>
          <w:sz w:val="16"/>
          <w:szCs w:val="16"/>
        </w:rPr>
        <w:t xml:space="preserve">SEVERITY  </w:t>
      </w:r>
      <w:r>
        <w:rPr>
          <w:rFonts w:ascii="Calibri" w:cs="Calibri" w:eastAsia="Calibri" w:hAnsi="Calibri"/>
          <w:b/>
          <w:bCs/>
          <w:color w:val="1D2430"/>
          <w:sz w:val="18"/>
          <w:szCs w:val="18"/>
        </w:rPr>
        <w:t xml:space="preserve">High</w:t>
      </w:r>
      <w:r>
        <w:rPr>
          <w:rFonts w:ascii="Calibri" w:cs="Calibri" w:eastAsia="Calibri" w:hAnsi="Calibri"/>
          <w:sz w:val="18"/>
          <w:szCs w:val="18"/>
        </w:rPr>
        <w:t xml:space="preserve">        </w:t>
      </w:r>
      <w:r>
        <w:rPr>
          <w:rFonts w:ascii="Calibri" w:cs="Calibri" w:eastAsia="Calibri" w:hAnsi="Calibri"/>
          <w:color w:val="5B6472"/>
          <w:sz w:val="16"/>
          <w:szCs w:val="16"/>
        </w:rPr>
        <w:t xml:space="preserve">STATUS  </w:t>
      </w:r>
      <w:r>
        <w:rPr>
          <w:rFonts w:ascii="Calibri" w:cs="Calibri" w:eastAsia="Calibri" w:hAnsi="Calibri"/>
          <w:b/>
          <w:bCs/>
          <w:color w:val="1F7A46"/>
          <w:sz w:val="18"/>
          <w:szCs w:val="18"/>
        </w:rPr>
        <w:t xml:space="preserve">Resolved</w:t>
      </w:r>
    </w:p>
    <w:p>
      <w:pPr>
        <w:spacing w:after="110" w:line="288"/>
      </w:pPr>
      <w:r>
        <w:rPr>
          <w:rFonts w:ascii="Calibri" w:cs="Calibri" w:eastAsia="Calibri" w:hAnsi="Calibri"/>
          <w:b/>
          <w:bCs/>
          <w:color w:val="22315B"/>
          <w:sz w:val="19"/>
          <w:szCs w:val="19"/>
        </w:rPr>
        <w:t xml:space="preserve">Issue.</w:t>
      </w:r>
      <w:r>
        <w:rPr>
          <w:sz w:val="19"/>
          <w:szCs w:val="19"/>
        </w:rPr>
        <w:t xml:space="preserve">   </w:t>
      </w:r>
      <w:r>
        <w:rPr>
          <w:rFonts w:ascii="Cambria" w:cs="Cambria" w:eastAsia="Cambria" w:hAnsi="Cambria"/>
          <w:color w:val="1D2430"/>
          <w:sz w:val="21"/>
          <w:szCs w:val="21"/>
        </w:rPr>
        <w:t xml:space="preserve">A month-end summary records its figures at the moment it is generated. Locking the summary afterwards did not recalculate them; it simply preserved the figures from when it was generated. If any sessions were logged in the interval between generating a summary and locking it, those sessions were not reflected in the locked figures.</w:t>
      </w:r>
    </w:p>
    <w:p>
      <w:pPr>
        <w:spacing w:after="110" w:line="288"/>
      </w:pPr>
      <w:r>
        <w:rPr>
          <w:rFonts w:ascii="Calibri" w:cs="Calibri" w:eastAsia="Calibri" w:hAnsi="Calibri"/>
          <w:b/>
          <w:bCs/>
          <w:color w:val="22315B"/>
          <w:sz w:val="19"/>
          <w:szCs w:val="19"/>
        </w:rPr>
        <w:t xml:space="preserve">Impact.</w:t>
      </w:r>
      <w:r>
        <w:rPr>
          <w:sz w:val="19"/>
          <w:szCs w:val="19"/>
        </w:rPr>
        <w:t xml:space="preserve">   </w:t>
      </w:r>
      <w:r>
        <w:rPr>
          <w:rFonts w:ascii="Cambria" w:cs="Cambria" w:eastAsia="Cambria" w:hAnsi="Cambria"/>
          <w:color w:val="1D2430"/>
          <w:sz w:val="21"/>
          <w:szCs w:val="21"/>
        </w:rPr>
        <w:t xml:space="preserve">The month-end summary is the basis for teacher-hours reporting. A summary generated and then locked at a later time would understate the hours actually worked.</w:t>
      </w:r>
    </w:p>
    <w:p>
      <w:pPr>
        <w:spacing w:after="110" w:line="288"/>
      </w:pPr>
      <w:r>
        <w:rPr>
          <w:rFonts w:ascii="Calibri" w:cs="Calibri" w:eastAsia="Calibri" w:hAnsi="Calibri"/>
          <w:b/>
          <w:bCs/>
          <w:color w:val="22315B"/>
          <w:sz w:val="19"/>
          <w:szCs w:val="19"/>
        </w:rPr>
        <w:t xml:space="preserve">Resolution.</w:t>
      </w:r>
      <w:r>
        <w:rPr>
          <w:sz w:val="19"/>
          <w:szCs w:val="19"/>
        </w:rPr>
        <w:t xml:space="preserve">   </w:t>
      </w:r>
      <w:r>
        <w:rPr>
          <w:rFonts w:ascii="Cambria" w:cs="Cambria" w:eastAsia="Cambria" w:hAnsi="Cambria"/>
          <w:color w:val="1D2430"/>
          <w:sz w:val="21"/>
          <w:szCs w:val="21"/>
        </w:rPr>
        <w:t xml:space="preserve">Corrected during this review. The lock action now regenerates the summary from the latest session data first, displays the refreshed figures for confirmation, and only then completes the lock. A summary can no longer be locked with out-of-date totals.</w:t>
      </w:r>
    </w:p>
    <w:p>
      <w:pPr>
        <w:spacing w:after="120"/>
      </w:pPr>
    </w:p>
    <w:p>
      <w:pPr>
        <w:pStyle w:val="Heading2"/>
        <w:keepNext/>
        <w:spacing w:after="60" w:before="260"/>
      </w:pPr>
      <w:r>
        <w:rPr>
          <w:rFonts w:ascii="Calibri" w:cs="Calibri" w:eastAsia="Calibri" w:hAnsi="Calibri"/>
          <w:b/>
          <w:bCs/>
          <w:color w:val="22315B"/>
          <w:sz w:val="23"/>
          <w:szCs w:val="23"/>
        </w:rPr>
        <w:t xml:space="preserve">3.2  Students can exceed their purchased hours without being blocked</w:t>
      </w:r>
    </w:p>
    <w:p>
      <w:pPr>
        <w:spacing w:after="120"/>
      </w:pPr>
      <w:r>
        <w:rPr>
          <w:rFonts w:ascii="Calibri" w:cs="Calibri" w:eastAsia="Calibri" w:hAnsi="Calibri"/>
          <w:color w:val="5B6472"/>
          <w:sz w:val="16"/>
          <w:szCs w:val="16"/>
        </w:rPr>
        <w:t xml:space="preserve">SEVERITY  </w:t>
      </w:r>
      <w:r>
        <w:rPr>
          <w:rFonts w:ascii="Calibri" w:cs="Calibri" w:eastAsia="Calibri" w:hAnsi="Calibri"/>
          <w:b/>
          <w:bCs/>
          <w:color w:val="1D2430"/>
          <w:sz w:val="18"/>
          <w:szCs w:val="18"/>
        </w:rPr>
        <w:t xml:space="preserve">Medium</w:t>
      </w:r>
      <w:r>
        <w:rPr>
          <w:rFonts w:ascii="Calibri" w:cs="Calibri" w:eastAsia="Calibri" w:hAnsi="Calibri"/>
          <w:sz w:val="18"/>
          <w:szCs w:val="18"/>
        </w:rPr>
        <w:t xml:space="preserve">        </w:t>
      </w:r>
      <w:r>
        <w:rPr>
          <w:rFonts w:ascii="Calibri" w:cs="Calibri" w:eastAsia="Calibri" w:hAnsi="Calibri"/>
          <w:color w:val="5B6472"/>
          <w:sz w:val="16"/>
          <w:szCs w:val="16"/>
        </w:rPr>
        <w:t xml:space="preserve">STATUS  </w:t>
      </w:r>
      <w:r>
        <w:rPr>
          <w:rFonts w:ascii="Calibri" w:cs="Calibri" w:eastAsia="Calibri" w:hAnsi="Calibri"/>
          <w:b/>
          <w:bCs/>
          <w:color w:val="1D2430"/>
          <w:sz w:val="18"/>
          <w:szCs w:val="18"/>
        </w:rPr>
        <w:t xml:space="preserve">Open</w:t>
      </w:r>
    </w:p>
    <w:p>
      <w:pPr>
        <w:spacing w:after="110" w:line="288"/>
      </w:pPr>
      <w:r>
        <w:rPr>
          <w:rFonts w:ascii="Calibri" w:cs="Calibri" w:eastAsia="Calibri" w:hAnsi="Calibri"/>
          <w:b/>
          <w:bCs/>
          <w:color w:val="22315B"/>
          <w:sz w:val="19"/>
          <w:szCs w:val="19"/>
        </w:rPr>
        <w:t xml:space="preserve">Issue.</w:t>
      </w:r>
      <w:r>
        <w:rPr>
          <w:sz w:val="19"/>
          <w:szCs w:val="19"/>
        </w:rPr>
        <w:t xml:space="preserve">   </w:t>
      </w:r>
      <w:r>
        <w:rPr>
          <w:rFonts w:ascii="Cambria" w:cs="Cambria" w:eastAsia="Cambria" w:hAnsi="Cambria"/>
          <w:color w:val="1D2430"/>
          <w:sz w:val="21"/>
          <w:szCs w:val="21"/>
        </w:rPr>
        <w:t xml:space="preserve">When a session is recorded for a student who has no matching hour package, the system creates an empty package and allows the session through, marking it as over the limit.</w:t>
      </w:r>
    </w:p>
    <w:p>
      <w:pPr>
        <w:spacing w:after="110" w:line="288"/>
      </w:pPr>
      <w:r>
        <w:rPr>
          <w:rFonts w:ascii="Calibri" w:cs="Calibri" w:eastAsia="Calibri" w:hAnsi="Calibri"/>
          <w:b/>
          <w:bCs/>
          <w:color w:val="22315B"/>
          <w:sz w:val="19"/>
          <w:szCs w:val="19"/>
        </w:rPr>
        <w:t xml:space="preserve">Impact.</w:t>
      </w:r>
      <w:r>
        <w:rPr>
          <w:sz w:val="19"/>
          <w:szCs w:val="19"/>
        </w:rPr>
        <w:t xml:space="preserve">   </w:t>
      </w:r>
      <w:r>
        <w:rPr>
          <w:rFonts w:ascii="Cambria" w:cs="Cambria" w:eastAsia="Cambria" w:hAnsi="Cambria"/>
          <w:color w:val="1D2430"/>
          <w:sz w:val="21"/>
          <w:szCs w:val="21"/>
        </w:rPr>
        <w:t xml:space="preserve">A student may be recorded as consuming more hours than they paid for.</w:t>
      </w:r>
    </w:p>
    <w:p>
      <w:pPr>
        <w:spacing w:after="110" w:line="288"/>
      </w:pPr>
      <w:r>
        <w:rPr>
          <w:rFonts w:ascii="Calibri" w:cs="Calibri" w:eastAsia="Calibri" w:hAnsi="Calibri"/>
          <w:b/>
          <w:bCs/>
          <w:color w:val="22315B"/>
          <w:sz w:val="19"/>
          <w:szCs w:val="19"/>
        </w:rPr>
        <w:t xml:space="preserve">Current safeguard.</w:t>
      </w:r>
      <w:r>
        <w:rPr>
          <w:sz w:val="19"/>
          <w:szCs w:val="19"/>
        </w:rPr>
        <w:t xml:space="preserve">   </w:t>
      </w:r>
      <w:r>
        <w:rPr>
          <w:rFonts w:ascii="Cambria" w:cs="Cambria" w:eastAsia="Cambria" w:hAnsi="Cambria"/>
          <w:color w:val="1D2430"/>
          <w:sz w:val="21"/>
          <w:szCs w:val="21"/>
        </w:rPr>
        <w:t xml:space="preserve">The system already emails the assigned Performance Coach each time a session pushes a package over its limit, so the case is flagged rather than silent.</w:t>
      </w:r>
    </w:p>
    <w:p>
      <w:pPr>
        <w:spacing w:after="110" w:line="288"/>
      </w:pPr>
      <w:r>
        <w:rPr>
          <w:rFonts w:ascii="Calibri" w:cs="Calibri" w:eastAsia="Calibri" w:hAnsi="Calibri"/>
          <w:b/>
          <w:bCs/>
          <w:color w:val="22315B"/>
          <w:sz w:val="19"/>
          <w:szCs w:val="19"/>
        </w:rPr>
        <w:t xml:space="preserve">Recommendation.</w:t>
      </w:r>
      <w:r>
        <w:rPr>
          <w:sz w:val="19"/>
          <w:szCs w:val="19"/>
        </w:rPr>
        <w:t xml:space="preserve">   </w:t>
      </w:r>
      <w:r>
        <w:rPr>
          <w:rFonts w:ascii="Cambria" w:cs="Cambria" w:eastAsia="Cambria" w:hAnsi="Cambria"/>
          <w:color w:val="1D2430"/>
          <w:sz w:val="21"/>
          <w:szCs w:val="21"/>
        </w:rPr>
        <w:t xml:space="preserve">In addition to the email, provide an on-screen list of students who are over their hours or missing a package, so that catching these cases does not depend on the email being noticed.</w:t>
      </w:r>
    </w:p>
    <w:p>
      <w:pPr>
        <w:spacing w:after="120"/>
      </w:pPr>
    </w:p>
    <w:p>
      <w:pPr>
        <w:pStyle w:val="Heading2"/>
        <w:keepNext/>
        <w:spacing w:after="60" w:before="260"/>
      </w:pPr>
      <w:r>
        <w:rPr>
          <w:rFonts w:ascii="Calibri" w:cs="Calibri" w:eastAsia="Calibri" w:hAnsi="Calibri"/>
          <w:b/>
          <w:bCs/>
          <w:color w:val="22315B"/>
          <w:sz w:val="23"/>
          <w:szCs w:val="23"/>
        </w:rPr>
        <w:t xml:space="preserve">3.3  Certain sessions are excluded from balances until assigned by hand</w:t>
      </w:r>
    </w:p>
    <w:p>
      <w:pPr>
        <w:spacing w:after="120"/>
      </w:pPr>
      <w:r>
        <w:rPr>
          <w:rFonts w:ascii="Calibri" w:cs="Calibri" w:eastAsia="Calibri" w:hAnsi="Calibri"/>
          <w:color w:val="5B6472"/>
          <w:sz w:val="16"/>
          <w:szCs w:val="16"/>
        </w:rPr>
        <w:t xml:space="preserve">SEVERITY  </w:t>
      </w:r>
      <w:r>
        <w:rPr>
          <w:rFonts w:ascii="Calibri" w:cs="Calibri" w:eastAsia="Calibri" w:hAnsi="Calibri"/>
          <w:b/>
          <w:bCs/>
          <w:color w:val="1D2430"/>
          <w:sz w:val="18"/>
          <w:szCs w:val="18"/>
        </w:rPr>
        <w:t xml:space="preserve">Medium</w:t>
      </w:r>
      <w:r>
        <w:rPr>
          <w:rFonts w:ascii="Calibri" w:cs="Calibri" w:eastAsia="Calibri" w:hAnsi="Calibri"/>
          <w:sz w:val="18"/>
          <w:szCs w:val="18"/>
        </w:rPr>
        <w:t xml:space="preserve">        </w:t>
      </w:r>
      <w:r>
        <w:rPr>
          <w:rFonts w:ascii="Calibri" w:cs="Calibri" w:eastAsia="Calibri" w:hAnsi="Calibri"/>
          <w:color w:val="5B6472"/>
          <w:sz w:val="16"/>
          <w:szCs w:val="16"/>
        </w:rPr>
        <w:t xml:space="preserve">STATUS  </w:t>
      </w:r>
      <w:r>
        <w:rPr>
          <w:rFonts w:ascii="Calibri" w:cs="Calibri" w:eastAsia="Calibri" w:hAnsi="Calibri"/>
          <w:b/>
          <w:bCs/>
          <w:color w:val="1D2430"/>
          <w:sz w:val="18"/>
          <w:szCs w:val="18"/>
        </w:rPr>
        <w:t xml:space="preserve">Open</w:t>
      </w:r>
    </w:p>
    <w:p>
      <w:pPr>
        <w:spacing w:after="110" w:line="288"/>
      </w:pPr>
      <w:r>
        <w:rPr>
          <w:rFonts w:ascii="Calibri" w:cs="Calibri" w:eastAsia="Calibri" w:hAnsi="Calibri"/>
          <w:b/>
          <w:bCs/>
          <w:color w:val="22315B"/>
          <w:sz w:val="19"/>
          <w:szCs w:val="19"/>
        </w:rPr>
        <w:t xml:space="preserve">Issue.</w:t>
      </w:r>
      <w:r>
        <w:rPr>
          <w:sz w:val="19"/>
          <w:szCs w:val="19"/>
        </w:rPr>
        <w:t xml:space="preserve">   </w:t>
      </w:r>
      <w:r>
        <w:rPr>
          <w:rFonts w:ascii="Cambria" w:cs="Cambria" w:eastAsia="Cambria" w:hAnsi="Cambria"/>
          <w:color w:val="1D2430"/>
          <w:sz w:val="21"/>
          <w:szCs w:val="21"/>
        </w:rPr>
        <w:t xml:space="preserve">For students holding a bundle of several hour pools, the system cannot always determine which pool a session should draw from. Such a session is left unassigned until a Performance Coach selects the pool manually.</w:t>
      </w:r>
    </w:p>
    <w:p>
      <w:pPr>
        <w:spacing w:after="110" w:line="288"/>
      </w:pPr>
      <w:r>
        <w:rPr>
          <w:rFonts w:ascii="Calibri" w:cs="Calibri" w:eastAsia="Calibri" w:hAnsi="Calibri"/>
          <w:b/>
          <w:bCs/>
          <w:color w:val="22315B"/>
          <w:sz w:val="19"/>
          <w:szCs w:val="19"/>
        </w:rPr>
        <w:t xml:space="preserve">By design.</w:t>
      </w:r>
      <w:r>
        <w:rPr>
          <w:sz w:val="19"/>
          <w:szCs w:val="19"/>
        </w:rPr>
        <w:t xml:space="preserve">   </w:t>
      </w:r>
      <w:r>
        <w:rPr>
          <w:rFonts w:ascii="Cambria" w:cs="Cambria" w:eastAsia="Cambria" w:hAnsi="Cambria"/>
          <w:color w:val="1D2430"/>
          <w:sz w:val="21"/>
          <w:szCs w:val="21"/>
        </w:rPr>
        <w:t xml:space="preserve">For the two bundle types — All-In-One and Foundation Program — this manual assignment by the Performance Coach is the intended process, since the correct pool genuinely cannot always be determined automatically. It is not a defect in itself.</w:t>
      </w:r>
    </w:p>
    <w:p>
      <w:pPr>
        <w:spacing w:after="110" w:line="288"/>
      </w:pPr>
      <w:r>
        <w:rPr>
          <w:rFonts w:ascii="Calibri" w:cs="Calibri" w:eastAsia="Calibri" w:hAnsi="Calibri"/>
          <w:b/>
          <w:bCs/>
          <w:color w:val="22315B"/>
          <w:sz w:val="19"/>
          <w:szCs w:val="19"/>
        </w:rPr>
        <w:t xml:space="preserve">Impact.</w:t>
      </w:r>
      <w:r>
        <w:rPr>
          <w:sz w:val="19"/>
          <w:szCs w:val="19"/>
        </w:rPr>
        <w:t xml:space="preserve">   </w:t>
      </w:r>
      <w:r>
        <w:rPr>
          <w:rFonts w:ascii="Cambria" w:cs="Cambria" w:eastAsia="Cambria" w:hAnsi="Cambria"/>
          <w:color w:val="1D2430"/>
          <w:sz w:val="21"/>
          <w:szCs w:val="21"/>
        </w:rPr>
        <w:t xml:space="preserve">The concern is only that, until the coach assigns it, the session is not counted in the student's balance, so the balance can appear healthier than it is. If it is never assigned, the hours are never reflected.</w:t>
      </w:r>
    </w:p>
    <w:p>
      <w:pPr>
        <w:spacing w:after="110" w:line="288"/>
      </w:pPr>
      <w:r>
        <w:rPr>
          <w:rFonts w:ascii="Calibri" w:cs="Calibri" w:eastAsia="Calibri" w:hAnsi="Calibri"/>
          <w:b/>
          <w:bCs/>
          <w:color w:val="22315B"/>
          <w:sz w:val="19"/>
          <w:szCs w:val="19"/>
        </w:rPr>
        <w:t xml:space="preserve">Recommendation.</w:t>
      </w:r>
      <w:r>
        <w:rPr>
          <w:sz w:val="19"/>
          <w:szCs w:val="19"/>
        </w:rPr>
        <w:t xml:space="preserve">   </w:t>
      </w:r>
      <w:r>
        <w:rPr>
          <w:rFonts w:ascii="Cambria" w:cs="Cambria" w:eastAsia="Cambria" w:hAnsi="Cambria"/>
          <w:color w:val="1D2430"/>
          <w:sz w:val="21"/>
          <w:szCs w:val="21"/>
        </w:rPr>
        <w:t xml:space="preserve">Make the sessions awaiting a pool assignment clearly visible on screen, rather than relying only on an email prompt, so the assignment step is hard to miss and none remain uncounted.</w:t>
      </w:r>
    </w:p>
    <w:p>
      <w:pPr>
        <w:spacing w:after="120"/>
      </w:pPr>
    </w:p>
    <w:p>
      <w:pPr>
        <w:pStyle w:val="Heading2"/>
        <w:keepNext/>
        <w:spacing w:after="60" w:before="260"/>
      </w:pPr>
      <w:r>
        <w:rPr>
          <w:rFonts w:ascii="Calibri" w:cs="Calibri" w:eastAsia="Calibri" w:hAnsi="Calibri"/>
          <w:b/>
          <w:bCs/>
          <w:color w:val="22315B"/>
          <w:sz w:val="23"/>
          <w:szCs w:val="23"/>
        </w:rPr>
        <w:t xml:space="preserve">3.4  Hour balances are recalculated on demand rather than stored</w:t>
      </w:r>
    </w:p>
    <w:p>
      <w:pPr>
        <w:spacing w:after="120"/>
      </w:pPr>
      <w:r>
        <w:rPr>
          <w:rFonts w:ascii="Calibri" w:cs="Calibri" w:eastAsia="Calibri" w:hAnsi="Calibri"/>
          <w:color w:val="5B6472"/>
          <w:sz w:val="16"/>
          <w:szCs w:val="16"/>
        </w:rPr>
        <w:t xml:space="preserve">SEVERITY  </w:t>
      </w:r>
      <w:r>
        <w:rPr>
          <w:rFonts w:ascii="Calibri" w:cs="Calibri" w:eastAsia="Calibri" w:hAnsi="Calibri"/>
          <w:b/>
          <w:bCs/>
          <w:color w:val="1D2430"/>
          <w:sz w:val="18"/>
          <w:szCs w:val="18"/>
        </w:rPr>
        <w:t xml:space="preserve">Medium</w:t>
      </w:r>
      <w:r>
        <w:rPr>
          <w:rFonts w:ascii="Calibri" w:cs="Calibri" w:eastAsia="Calibri" w:hAnsi="Calibri"/>
          <w:sz w:val="18"/>
          <w:szCs w:val="18"/>
        </w:rPr>
        <w:t xml:space="preserve">        </w:t>
      </w:r>
      <w:r>
        <w:rPr>
          <w:rFonts w:ascii="Calibri" w:cs="Calibri" w:eastAsia="Calibri" w:hAnsi="Calibri"/>
          <w:color w:val="5B6472"/>
          <w:sz w:val="16"/>
          <w:szCs w:val="16"/>
        </w:rPr>
        <w:t xml:space="preserve">STATUS  </w:t>
      </w:r>
      <w:r>
        <w:rPr>
          <w:rFonts w:ascii="Calibri" w:cs="Calibri" w:eastAsia="Calibri" w:hAnsi="Calibri"/>
          <w:b/>
          <w:bCs/>
          <w:color w:val="1F7A46"/>
          <w:sz w:val="18"/>
          <w:szCs w:val="18"/>
        </w:rPr>
        <w:t xml:space="preserve">Resolved</w:t>
      </w:r>
    </w:p>
    <w:p>
      <w:pPr>
        <w:spacing w:after="110" w:line="288"/>
      </w:pPr>
      <w:r>
        <w:rPr>
          <w:rFonts w:ascii="Calibri" w:cs="Calibri" w:eastAsia="Calibri" w:hAnsi="Calibri"/>
          <w:b/>
          <w:bCs/>
          <w:color w:val="22315B"/>
          <w:sz w:val="19"/>
          <w:szCs w:val="19"/>
        </w:rPr>
        <w:t xml:space="preserve">Issue.</w:t>
      </w:r>
      <w:r>
        <w:rPr>
          <w:sz w:val="19"/>
          <w:szCs w:val="19"/>
        </w:rPr>
        <w:t xml:space="preserve">   </w:t>
      </w:r>
      <w:r>
        <w:rPr>
          <w:rFonts w:ascii="Cambria" w:cs="Cambria" w:eastAsia="Cambria" w:hAnsi="Cambria"/>
          <w:color w:val="1D2430"/>
          <w:sz w:val="21"/>
          <w:szCs w:val="21"/>
        </w:rPr>
        <w:t xml:space="preserve">The system did not keep a stored figure for hours used. Each time a page opened, it re-added every session to calculate the balance again, leaving no single saved figure to reconcile against and a small risk that a partial data load could understate a balance without any error being shown.</w:t>
      </w:r>
    </w:p>
    <w:p>
      <w:pPr>
        <w:spacing w:after="110" w:line="288"/>
      </w:pPr>
      <w:r>
        <w:rPr>
          <w:rFonts w:ascii="Calibri" w:cs="Calibri" w:eastAsia="Calibri" w:hAnsi="Calibri"/>
          <w:b/>
          <w:bCs/>
          <w:color w:val="22315B"/>
          <w:sz w:val="19"/>
          <w:szCs w:val="19"/>
        </w:rPr>
        <w:t xml:space="preserve">Impact.</w:t>
      </w:r>
      <w:r>
        <w:rPr>
          <w:sz w:val="19"/>
          <w:szCs w:val="19"/>
        </w:rPr>
        <w:t xml:space="preserve">   </w:t>
      </w:r>
      <w:r>
        <w:rPr>
          <w:rFonts w:ascii="Cambria" w:cs="Cambria" w:eastAsia="Cambria" w:hAnsi="Cambria"/>
          <w:color w:val="1D2430"/>
          <w:sz w:val="21"/>
          <w:szCs w:val="21"/>
        </w:rPr>
        <w:t xml:space="preserve">The figures were correct in practice, but the balance depended on re-adding every session correctly on each view, rather than on one authoritative stored number.</w:t>
      </w:r>
    </w:p>
    <w:p>
      <w:pPr>
        <w:spacing w:after="110" w:line="288"/>
      </w:pPr>
      <w:r>
        <w:rPr>
          <w:rFonts w:ascii="Calibri" w:cs="Calibri" w:eastAsia="Calibri" w:hAnsi="Calibri"/>
          <w:b/>
          <w:bCs/>
          <w:color w:val="22315B"/>
          <w:sz w:val="19"/>
          <w:szCs w:val="19"/>
        </w:rPr>
        <w:t xml:space="preserve">Resolution.</w:t>
      </w:r>
      <w:r>
        <w:rPr>
          <w:sz w:val="19"/>
          <w:szCs w:val="19"/>
        </w:rPr>
        <w:t xml:space="preserve">   </w:t>
      </w:r>
      <w:r>
        <w:rPr>
          <w:rFonts w:ascii="Cambria" w:cs="Cambria" w:eastAsia="Cambria" w:hAnsi="Cambria"/>
          <w:color w:val="1D2430"/>
          <w:sz w:val="21"/>
          <w:szCs w:val="21"/>
        </w:rPr>
        <w:t xml:space="preserve">Corrected during this review. Each package now carries a stored hours-used figure that the system maintains automatically as sessions are added, edited, moved or removed, and the balance shown on screen reads that stored figure. It is now an authoritative saved number rather than a fresh re-count on every view.</w:t>
      </w:r>
    </w:p>
    <w:p>
      <w:r>
        <w:br w:type="page"/>
      </w:r>
    </w:p>
    <w:p>
      <w:pPr>
        <w:pStyle w:val="Heading1"/>
        <w:keepNext/>
        <w:spacing w:after="60" w:before="340"/>
      </w:pPr>
      <w:r>
        <w:rPr>
          <w:rFonts w:ascii="Calibri" w:cs="Calibri" w:eastAsia="Calibri" w:hAnsi="Calibri"/>
          <w:b/>
          <w:bCs/>
          <w:color w:val="22315B"/>
          <w:sz w:val="28"/>
          <w:szCs w:val="28"/>
        </w:rPr>
        <w:t xml:space="preserve">4.  Capabilities not yet built</w:t>
      </w:r>
    </w:p>
    <w:p>
      <w:pPr>
        <w:pStyle w:val="Heading2"/>
        <w:keepNext/>
        <w:spacing w:after="60" w:before="260"/>
      </w:pPr>
      <w:r>
        <w:rPr>
          <w:rFonts w:ascii="Calibri" w:cs="Calibri" w:eastAsia="Calibri" w:hAnsi="Calibri"/>
          <w:b/>
          <w:bCs/>
          <w:color w:val="22315B"/>
          <w:sz w:val="23"/>
          <w:szCs w:val="23"/>
        </w:rPr>
        <w:t xml:space="preserve">4.1  No pricing model — monetary amounts cannot be produced</w:t>
      </w:r>
    </w:p>
    <w:p>
      <w:pPr>
        <w:spacing w:after="120"/>
      </w:pPr>
      <w:r>
        <w:rPr>
          <w:rFonts w:ascii="Calibri" w:cs="Calibri" w:eastAsia="Calibri" w:hAnsi="Calibri"/>
          <w:color w:val="5B6472"/>
          <w:sz w:val="16"/>
          <w:szCs w:val="16"/>
        </w:rPr>
        <w:t xml:space="preserve">SEVERITY  </w:t>
      </w:r>
      <w:r>
        <w:rPr>
          <w:rFonts w:ascii="Calibri" w:cs="Calibri" w:eastAsia="Calibri" w:hAnsi="Calibri"/>
          <w:b/>
          <w:bCs/>
          <w:color w:val="1D2430"/>
          <w:sz w:val="18"/>
          <w:szCs w:val="18"/>
        </w:rPr>
        <w:t xml:space="preserve">High</w:t>
      </w:r>
      <w:r>
        <w:rPr>
          <w:rFonts w:ascii="Calibri" w:cs="Calibri" w:eastAsia="Calibri" w:hAnsi="Calibri"/>
          <w:sz w:val="18"/>
          <w:szCs w:val="18"/>
        </w:rPr>
        <w:t xml:space="preserve">        </w:t>
      </w:r>
      <w:r>
        <w:rPr>
          <w:rFonts w:ascii="Calibri" w:cs="Calibri" w:eastAsia="Calibri" w:hAnsi="Calibri"/>
          <w:color w:val="5B6472"/>
          <w:sz w:val="16"/>
          <w:szCs w:val="16"/>
        </w:rPr>
        <w:t xml:space="preserve">STATUS  </w:t>
      </w:r>
      <w:r>
        <w:rPr>
          <w:rFonts w:ascii="Calibri" w:cs="Calibri" w:eastAsia="Calibri" w:hAnsi="Calibri"/>
          <w:b/>
          <w:bCs/>
          <w:color w:val="1D2430"/>
          <w:sz w:val="18"/>
          <w:szCs w:val="18"/>
        </w:rPr>
        <w:t xml:space="preserve">Open</w:t>
      </w:r>
    </w:p>
    <w:p>
      <w:pPr>
        <w:spacing w:after="110" w:line="288"/>
      </w:pPr>
      <w:r>
        <w:rPr>
          <w:rFonts w:ascii="Calibri" w:cs="Calibri" w:eastAsia="Calibri" w:hAnsi="Calibri"/>
          <w:b/>
          <w:bCs/>
          <w:color w:val="22315B"/>
          <w:sz w:val="19"/>
          <w:szCs w:val="19"/>
        </w:rPr>
        <w:t xml:space="preserve">Issue.</w:t>
      </w:r>
      <w:r>
        <w:rPr>
          <w:sz w:val="19"/>
          <w:szCs w:val="19"/>
        </w:rPr>
        <w:t xml:space="preserve">   </w:t>
      </w:r>
      <w:r>
        <w:rPr>
          <w:rFonts w:ascii="Cambria" w:cs="Cambria" w:eastAsia="Cambria" w:hAnsi="Cambria"/>
          <w:color w:val="1D2430"/>
          <w:sz w:val="21"/>
          <w:szCs w:val="21"/>
        </w:rPr>
        <w:t xml:space="preserve">The system has no concept of price, rate or currency. The figure it labels as revenue is in fact a count of hours.</w:t>
      </w:r>
    </w:p>
    <w:p>
      <w:pPr>
        <w:spacing w:after="110" w:line="288"/>
      </w:pPr>
      <w:r>
        <w:rPr>
          <w:rFonts w:ascii="Calibri" w:cs="Calibri" w:eastAsia="Calibri" w:hAnsi="Calibri"/>
          <w:b/>
          <w:bCs/>
          <w:color w:val="22315B"/>
          <w:sz w:val="19"/>
          <w:szCs w:val="19"/>
        </w:rPr>
        <w:t xml:space="preserve">Impact.</w:t>
      </w:r>
      <w:r>
        <w:rPr>
          <w:sz w:val="19"/>
          <w:szCs w:val="19"/>
        </w:rPr>
        <w:t xml:space="preserve">   </w:t>
      </w:r>
      <w:r>
        <w:rPr>
          <w:rFonts w:ascii="Cambria" w:cs="Cambria" w:eastAsia="Cambria" w:hAnsi="Cambria"/>
          <w:color w:val="1D2430"/>
          <w:sz w:val="21"/>
          <w:szCs w:val="21"/>
        </w:rPr>
        <w:t xml:space="preserve">The system can report how many hours a teacher worked or a student used, but it cannot produce a payment amount or an invoice showing a sum owed. Monetary figures must still be calculated manually.</w:t>
      </w:r>
    </w:p>
    <w:p>
      <w:pPr>
        <w:spacing w:after="110" w:line="288"/>
      </w:pPr>
      <w:r>
        <w:rPr>
          <w:rFonts w:ascii="Calibri" w:cs="Calibri" w:eastAsia="Calibri" w:hAnsi="Calibri"/>
          <w:b/>
          <w:bCs/>
          <w:color w:val="22315B"/>
          <w:sz w:val="19"/>
          <w:szCs w:val="19"/>
        </w:rPr>
        <w:t xml:space="preserve">Recommendation.</w:t>
      </w:r>
      <w:r>
        <w:rPr>
          <w:sz w:val="19"/>
          <w:szCs w:val="19"/>
        </w:rPr>
        <w:t xml:space="preserve">   </w:t>
      </w:r>
      <w:r>
        <w:rPr>
          <w:rFonts w:ascii="Cambria" w:cs="Cambria" w:eastAsia="Cambria" w:hAnsi="Cambria"/>
          <w:color w:val="1D2430"/>
          <w:sz w:val="21"/>
          <w:szCs w:val="21"/>
        </w:rPr>
        <w:t xml:space="preserve">Introduce a rate — a single price-per-hour setting would be sufficient to begin with — so that hours can be converted into amounts. Until then, the “Monthly Revenue” label would be more accurately titled “Billable Hours.”</w:t>
      </w:r>
    </w:p>
    <w:p>
      <w:pPr>
        <w:spacing w:after="120"/>
      </w:pPr>
    </w:p>
    <w:p>
      <w:pPr>
        <w:pStyle w:val="Heading2"/>
        <w:keepNext/>
        <w:spacing w:after="60" w:before="260"/>
      </w:pPr>
      <w:r>
        <w:rPr>
          <w:rFonts w:ascii="Calibri" w:cs="Calibri" w:eastAsia="Calibri" w:hAnsi="Calibri"/>
          <w:b/>
          <w:bCs/>
          <w:color w:val="22315B"/>
          <w:sz w:val="23"/>
          <w:szCs w:val="23"/>
        </w:rPr>
        <w:t xml:space="preserve">4.2  No documented or tested backup-and-restore procedure</w:t>
      </w:r>
    </w:p>
    <w:p>
      <w:pPr>
        <w:spacing w:after="120"/>
      </w:pPr>
      <w:r>
        <w:rPr>
          <w:rFonts w:ascii="Calibri" w:cs="Calibri" w:eastAsia="Calibri" w:hAnsi="Calibri"/>
          <w:color w:val="5B6472"/>
          <w:sz w:val="16"/>
          <w:szCs w:val="16"/>
        </w:rPr>
        <w:t xml:space="preserve">SEVERITY  </w:t>
      </w:r>
      <w:r>
        <w:rPr>
          <w:rFonts w:ascii="Calibri" w:cs="Calibri" w:eastAsia="Calibri" w:hAnsi="Calibri"/>
          <w:b/>
          <w:bCs/>
          <w:color w:val="1D2430"/>
          <w:sz w:val="18"/>
          <w:szCs w:val="18"/>
        </w:rPr>
        <w:t xml:space="preserve">High</w:t>
      </w:r>
      <w:r>
        <w:rPr>
          <w:rFonts w:ascii="Calibri" w:cs="Calibri" w:eastAsia="Calibri" w:hAnsi="Calibri"/>
          <w:sz w:val="18"/>
          <w:szCs w:val="18"/>
        </w:rPr>
        <w:t xml:space="preserve">        </w:t>
      </w:r>
      <w:r>
        <w:rPr>
          <w:rFonts w:ascii="Calibri" w:cs="Calibri" w:eastAsia="Calibri" w:hAnsi="Calibri"/>
          <w:color w:val="5B6472"/>
          <w:sz w:val="16"/>
          <w:szCs w:val="16"/>
        </w:rPr>
        <w:t xml:space="preserve">STATUS  </w:t>
      </w:r>
      <w:r>
        <w:rPr>
          <w:rFonts w:ascii="Calibri" w:cs="Calibri" w:eastAsia="Calibri" w:hAnsi="Calibri"/>
          <w:b/>
          <w:bCs/>
          <w:color w:val="1D2430"/>
          <w:sz w:val="18"/>
          <w:szCs w:val="18"/>
        </w:rPr>
        <w:t xml:space="preserve">Open</w:t>
      </w:r>
    </w:p>
    <w:p>
      <w:pPr>
        <w:spacing w:after="110" w:line="288"/>
      </w:pPr>
      <w:r>
        <w:rPr>
          <w:rFonts w:ascii="Calibri" w:cs="Calibri" w:eastAsia="Calibri" w:hAnsi="Calibri"/>
          <w:b/>
          <w:bCs/>
          <w:color w:val="22315B"/>
          <w:sz w:val="19"/>
          <w:szCs w:val="19"/>
        </w:rPr>
        <w:t xml:space="preserve">Issue.</w:t>
      </w:r>
      <w:r>
        <w:rPr>
          <w:sz w:val="19"/>
          <w:szCs w:val="19"/>
        </w:rPr>
        <w:t xml:space="preserve">   </w:t>
      </w:r>
      <w:r>
        <w:rPr>
          <w:rFonts w:ascii="Cambria" w:cs="Cambria" w:eastAsia="Cambria" w:hAnsi="Cambria"/>
          <w:color w:val="1D2430"/>
          <w:sz w:val="21"/>
          <w:szCs w:val="21"/>
        </w:rPr>
        <w:t xml:space="preserve">There is no document describing how the data is backed up or how it would be restored, and no record that a restore has ever been performed. The only related scripts held in the project are ones that erase data.</w:t>
      </w:r>
    </w:p>
    <w:p>
      <w:pPr>
        <w:spacing w:after="110" w:line="288"/>
      </w:pPr>
      <w:r>
        <w:rPr>
          <w:rFonts w:ascii="Calibri" w:cs="Calibri" w:eastAsia="Calibri" w:hAnsi="Calibri"/>
          <w:b/>
          <w:bCs/>
          <w:color w:val="22315B"/>
          <w:sz w:val="19"/>
          <w:szCs w:val="19"/>
        </w:rPr>
        <w:t xml:space="preserve">Impact.</w:t>
      </w:r>
      <w:r>
        <w:rPr>
          <w:sz w:val="19"/>
          <w:szCs w:val="19"/>
        </w:rPr>
        <w:t xml:space="preserve">   </w:t>
      </w:r>
      <w:r>
        <w:rPr>
          <w:rFonts w:ascii="Cambria" w:cs="Cambria" w:eastAsia="Cambria" w:hAnsi="Cambria"/>
          <w:color w:val="1D2430"/>
          <w:sz w:val="21"/>
          <w:szCs w:val="21"/>
        </w:rPr>
        <w:t xml:space="preserve">In the event of data loss or corruption, there is no proven, documented path to recovery.</w:t>
      </w:r>
    </w:p>
    <w:p>
      <w:pPr>
        <w:spacing w:after="110" w:line="288"/>
      </w:pPr>
      <w:r>
        <w:rPr>
          <w:rFonts w:ascii="Calibri" w:cs="Calibri" w:eastAsia="Calibri" w:hAnsi="Calibri"/>
          <w:b/>
          <w:bCs/>
          <w:color w:val="22315B"/>
          <w:sz w:val="19"/>
          <w:szCs w:val="19"/>
        </w:rPr>
        <w:t xml:space="preserve">Recommendation.</w:t>
      </w:r>
      <w:r>
        <w:rPr>
          <w:sz w:val="19"/>
          <w:szCs w:val="19"/>
        </w:rPr>
        <w:t xml:space="preserve">   </w:t>
      </w:r>
      <w:r>
        <w:rPr>
          <w:rFonts w:ascii="Cambria" w:cs="Cambria" w:eastAsia="Cambria" w:hAnsi="Cambria"/>
          <w:color w:val="1D2430"/>
          <w:sz w:val="21"/>
          <w:szCs w:val="21"/>
        </w:rPr>
        <w:t xml:space="preserve">Prepare a concise, step-by-step backup-and-restore procedure and carry out one restore to confirm that it works as documented.</w:t>
      </w:r>
    </w:p>
    <w:p>
      <w:pPr>
        <w:spacing w:after="110" w:line="288"/>
      </w:pPr>
      <w:r>
        <w:rPr>
          <w:rFonts w:ascii="Calibri" w:cs="Calibri" w:eastAsia="Calibri" w:hAnsi="Calibri"/>
          <w:b/>
          <w:bCs/>
          <w:color w:val="22315B"/>
          <w:sz w:val="19"/>
          <w:szCs w:val="19"/>
        </w:rPr>
        <w:t xml:space="preserve">Note.</w:t>
      </w:r>
      <w:r>
        <w:rPr>
          <w:sz w:val="19"/>
          <w:szCs w:val="19"/>
        </w:rPr>
        <w:t xml:space="preserve">   </w:t>
      </w:r>
      <w:r>
        <w:rPr>
          <w:rFonts w:ascii="Cambria" w:cs="Cambria" w:eastAsia="Cambria" w:hAnsi="Cambria"/>
          <w:color w:val="1D2430"/>
          <w:sz w:val="21"/>
          <w:szCs w:val="21"/>
        </w:rPr>
        <w:t xml:space="preserve">Planned to be carried out once the system is fully built, as part of the wider security measures.</w:t>
      </w:r>
    </w:p>
    <w:p>
      <w:pPr>
        <w:spacing w:after="120"/>
      </w:pPr>
    </w:p>
    <w:p>
      <w:pPr>
        <w:pStyle w:val="Heading2"/>
        <w:keepNext/>
        <w:spacing w:after="60" w:before="260"/>
      </w:pPr>
      <w:r>
        <w:rPr>
          <w:rFonts w:ascii="Calibri" w:cs="Calibri" w:eastAsia="Calibri" w:hAnsi="Calibri"/>
          <w:b/>
          <w:bCs/>
          <w:color w:val="22315B"/>
          <w:sz w:val="23"/>
          <w:szCs w:val="23"/>
        </w:rPr>
        <w:t xml:space="preserve">4.3  Automated reminder emails are not confirmed as active</w:t>
      </w:r>
    </w:p>
    <w:p>
      <w:pPr>
        <w:spacing w:after="120"/>
      </w:pPr>
      <w:r>
        <w:rPr>
          <w:rFonts w:ascii="Calibri" w:cs="Calibri" w:eastAsia="Calibri" w:hAnsi="Calibri"/>
          <w:color w:val="5B6472"/>
          <w:sz w:val="16"/>
          <w:szCs w:val="16"/>
        </w:rPr>
        <w:t xml:space="preserve">SEVERITY  </w:t>
      </w:r>
      <w:r>
        <w:rPr>
          <w:rFonts w:ascii="Calibri" w:cs="Calibri" w:eastAsia="Calibri" w:hAnsi="Calibri"/>
          <w:b/>
          <w:bCs/>
          <w:color w:val="1D2430"/>
          <w:sz w:val="18"/>
          <w:szCs w:val="18"/>
        </w:rPr>
        <w:t xml:space="preserve">Medium</w:t>
      </w:r>
      <w:r>
        <w:rPr>
          <w:rFonts w:ascii="Calibri" w:cs="Calibri" w:eastAsia="Calibri" w:hAnsi="Calibri"/>
          <w:sz w:val="18"/>
          <w:szCs w:val="18"/>
        </w:rPr>
        <w:t xml:space="preserve">        </w:t>
      </w:r>
      <w:r>
        <w:rPr>
          <w:rFonts w:ascii="Calibri" w:cs="Calibri" w:eastAsia="Calibri" w:hAnsi="Calibri"/>
          <w:color w:val="5B6472"/>
          <w:sz w:val="16"/>
          <w:szCs w:val="16"/>
        </w:rPr>
        <w:t xml:space="preserve">STATUS  </w:t>
      </w:r>
      <w:r>
        <w:rPr>
          <w:rFonts w:ascii="Calibri" w:cs="Calibri" w:eastAsia="Calibri" w:hAnsi="Calibri"/>
          <w:b/>
          <w:bCs/>
          <w:color w:val="1D2430"/>
          <w:sz w:val="18"/>
          <w:szCs w:val="18"/>
        </w:rPr>
        <w:t xml:space="preserve">Open</w:t>
      </w:r>
    </w:p>
    <w:p>
      <w:pPr>
        <w:spacing w:after="110" w:line="288"/>
      </w:pPr>
      <w:r>
        <w:rPr>
          <w:rFonts w:ascii="Calibri" w:cs="Calibri" w:eastAsia="Calibri" w:hAnsi="Calibri"/>
          <w:b/>
          <w:bCs/>
          <w:color w:val="22315B"/>
          <w:sz w:val="19"/>
          <w:szCs w:val="19"/>
        </w:rPr>
        <w:t xml:space="preserve">Issue.</w:t>
      </w:r>
      <w:r>
        <w:rPr>
          <w:sz w:val="19"/>
          <w:szCs w:val="19"/>
        </w:rPr>
        <w:t xml:space="preserve">   </w:t>
      </w:r>
      <w:r>
        <w:rPr>
          <w:rFonts w:ascii="Cambria" w:cs="Cambria" w:eastAsia="Cambria" w:hAnsi="Cambria"/>
          <w:color w:val="1D2430"/>
          <w:sz w:val="21"/>
          <w:szCs w:val="21"/>
        </w:rPr>
        <w:t xml:space="preserve">Several reminders — a student approaching their hour limit, a session awaiting a pool assignment, a package due for renewal — are delivered by email. The settings that enable these emails have not been confirmed as active in the live system.</w:t>
      </w:r>
    </w:p>
    <w:p>
      <w:pPr>
        <w:spacing w:after="110" w:line="288"/>
      </w:pPr>
      <w:r>
        <w:rPr>
          <w:rFonts w:ascii="Calibri" w:cs="Calibri" w:eastAsia="Calibri" w:hAnsi="Calibri"/>
          <w:b/>
          <w:bCs/>
          <w:color w:val="22315B"/>
          <w:sz w:val="19"/>
          <w:szCs w:val="19"/>
        </w:rPr>
        <w:t xml:space="preserve">Impact.</w:t>
      </w:r>
      <w:r>
        <w:rPr>
          <w:sz w:val="19"/>
          <w:szCs w:val="19"/>
        </w:rPr>
        <w:t xml:space="preserve">   </w:t>
      </w:r>
      <w:r>
        <w:rPr>
          <w:rFonts w:ascii="Cambria" w:cs="Cambria" w:eastAsia="Cambria" w:hAnsi="Cambria"/>
          <w:color w:val="1D2430"/>
          <w:sz w:val="21"/>
          <w:szCs w:val="21"/>
        </w:rPr>
        <w:t xml:space="preserve">Two of the safeguards above (findings 3.2 and 3.3) rely on these emails to prompt action. If the emails are not being sent, those prompts do not reach anyone.</w:t>
      </w:r>
    </w:p>
    <w:p>
      <w:pPr>
        <w:spacing w:after="110" w:line="288"/>
      </w:pPr>
      <w:r>
        <w:rPr>
          <w:rFonts w:ascii="Calibri" w:cs="Calibri" w:eastAsia="Calibri" w:hAnsi="Calibri"/>
          <w:b/>
          <w:bCs/>
          <w:color w:val="22315B"/>
          <w:sz w:val="19"/>
          <w:szCs w:val="19"/>
        </w:rPr>
        <w:t xml:space="preserve">Recommendation.</w:t>
      </w:r>
      <w:r>
        <w:rPr>
          <w:sz w:val="19"/>
          <w:szCs w:val="19"/>
        </w:rPr>
        <w:t xml:space="preserve">   </w:t>
      </w:r>
      <w:r>
        <w:rPr>
          <w:rFonts w:ascii="Cambria" w:cs="Cambria" w:eastAsia="Cambria" w:hAnsi="Cambria"/>
          <w:color w:val="1D2430"/>
          <w:sz w:val="21"/>
          <w:szCs w:val="21"/>
        </w:rPr>
        <w:t xml:space="preserve">Confirm the email settings are active in the live system and send one test of each to verify delivery.</w:t>
      </w:r>
    </w:p>
    <w:p>
      <w:pPr>
        <w:spacing w:after="120"/>
      </w:pPr>
    </w:p>
    <w:p>
      <w:pPr>
        <w:pStyle w:val="Heading2"/>
        <w:keepNext/>
        <w:spacing w:after="60" w:before="260"/>
      </w:pPr>
      <w:r>
        <w:rPr>
          <w:rFonts w:ascii="Calibri" w:cs="Calibri" w:eastAsia="Calibri" w:hAnsi="Calibri"/>
          <w:b/>
          <w:bCs/>
          <w:color w:val="22315B"/>
          <w:sz w:val="23"/>
          <w:szCs w:val="23"/>
        </w:rPr>
        <w:t xml:space="preserve">4.4  Two account-security protections are disabled</w:t>
      </w:r>
    </w:p>
    <w:p>
      <w:pPr>
        <w:spacing w:after="120"/>
      </w:pPr>
      <w:r>
        <w:rPr>
          <w:rFonts w:ascii="Calibri" w:cs="Calibri" w:eastAsia="Calibri" w:hAnsi="Calibri"/>
          <w:color w:val="5B6472"/>
          <w:sz w:val="16"/>
          <w:szCs w:val="16"/>
        </w:rPr>
        <w:t xml:space="preserve">SEVERITY  </w:t>
      </w:r>
      <w:r>
        <w:rPr>
          <w:rFonts w:ascii="Calibri" w:cs="Calibri" w:eastAsia="Calibri" w:hAnsi="Calibri"/>
          <w:b/>
          <w:bCs/>
          <w:color w:val="1D2430"/>
          <w:sz w:val="18"/>
          <w:szCs w:val="18"/>
        </w:rPr>
        <w:t xml:space="preserve">Low</w:t>
      </w:r>
      <w:r>
        <w:rPr>
          <w:rFonts w:ascii="Calibri" w:cs="Calibri" w:eastAsia="Calibri" w:hAnsi="Calibri"/>
          <w:sz w:val="18"/>
          <w:szCs w:val="18"/>
        </w:rPr>
        <w:t xml:space="preserve">        </w:t>
      </w:r>
      <w:r>
        <w:rPr>
          <w:rFonts w:ascii="Calibri" w:cs="Calibri" w:eastAsia="Calibri" w:hAnsi="Calibri"/>
          <w:color w:val="5B6472"/>
          <w:sz w:val="16"/>
          <w:szCs w:val="16"/>
        </w:rPr>
        <w:t xml:space="preserve">STATUS  </w:t>
      </w:r>
      <w:r>
        <w:rPr>
          <w:rFonts w:ascii="Calibri" w:cs="Calibri" w:eastAsia="Calibri" w:hAnsi="Calibri"/>
          <w:b/>
          <w:bCs/>
          <w:color w:val="1D2430"/>
          <w:sz w:val="18"/>
          <w:szCs w:val="18"/>
        </w:rPr>
        <w:t xml:space="preserve">Open</w:t>
      </w:r>
    </w:p>
    <w:p>
      <w:pPr>
        <w:spacing w:after="110" w:line="288"/>
      </w:pPr>
      <w:r>
        <w:rPr>
          <w:rFonts w:ascii="Calibri" w:cs="Calibri" w:eastAsia="Calibri" w:hAnsi="Calibri"/>
          <w:b/>
          <w:bCs/>
          <w:color w:val="22315B"/>
          <w:sz w:val="19"/>
          <w:szCs w:val="19"/>
        </w:rPr>
        <w:t xml:space="preserve">Issue.</w:t>
      </w:r>
      <w:r>
        <w:rPr>
          <w:sz w:val="19"/>
          <w:szCs w:val="19"/>
        </w:rPr>
        <w:t xml:space="preserve">   </w:t>
      </w:r>
      <w:r>
        <w:rPr>
          <w:rFonts w:ascii="Cambria" w:cs="Cambria" w:eastAsia="Cambria" w:hAnsi="Cambria"/>
          <w:color w:val="1D2430"/>
          <w:sz w:val="21"/>
          <w:szCs w:val="21"/>
        </w:rPr>
        <w:t xml:space="preserve">Two standard protections are currently off: leaked-password protection, which warns when a password known to have been exposed online is used; and listing protection on a small number of public file folders, whose contents can currently be browsed by anyone holding the address.</w:t>
      </w:r>
    </w:p>
    <w:p>
      <w:pPr>
        <w:spacing w:after="110" w:line="288"/>
      </w:pPr>
      <w:r>
        <w:rPr>
          <w:rFonts w:ascii="Calibri" w:cs="Calibri" w:eastAsia="Calibri" w:hAnsi="Calibri"/>
          <w:b/>
          <w:bCs/>
          <w:color w:val="22315B"/>
          <w:sz w:val="19"/>
          <w:szCs w:val="19"/>
        </w:rPr>
        <w:t xml:space="preserve">Impact.</w:t>
      </w:r>
      <w:r>
        <w:rPr>
          <w:sz w:val="19"/>
          <w:szCs w:val="19"/>
        </w:rPr>
        <w:t xml:space="preserve">   </w:t>
      </w:r>
      <w:r>
        <w:rPr>
          <w:rFonts w:ascii="Cambria" w:cs="Cambria" w:eastAsia="Cambria" w:hAnsi="Cambria"/>
          <w:color w:val="1D2430"/>
          <w:sz w:val="21"/>
          <w:szCs w:val="21"/>
        </w:rPr>
        <w:t xml:space="preserve">Neither represents an active breach, but both are straightforward improvements to the system's security posture.</w:t>
      </w:r>
    </w:p>
    <w:p>
      <w:pPr>
        <w:spacing w:after="110" w:line="288"/>
      </w:pPr>
      <w:r>
        <w:rPr>
          <w:rFonts w:ascii="Calibri" w:cs="Calibri" w:eastAsia="Calibri" w:hAnsi="Calibri"/>
          <w:b/>
          <w:bCs/>
          <w:color w:val="22315B"/>
          <w:sz w:val="19"/>
          <w:szCs w:val="19"/>
        </w:rPr>
        <w:t xml:space="preserve">Recommendation.</w:t>
      </w:r>
      <w:r>
        <w:rPr>
          <w:sz w:val="19"/>
          <w:szCs w:val="19"/>
        </w:rPr>
        <w:t xml:space="preserve">   </w:t>
      </w:r>
      <w:r>
        <w:rPr>
          <w:rFonts w:ascii="Cambria" w:cs="Cambria" w:eastAsia="Cambria" w:hAnsi="Cambria"/>
          <w:color w:val="1D2430"/>
          <w:sz w:val="21"/>
          <w:szCs w:val="21"/>
        </w:rPr>
        <w:t xml:space="preserve">Enable leaked-password protection and confirm that no sensitive material is held in the browsable folders.</w:t>
      </w:r>
    </w:p>
    <w:p>
      <w:r>
        <w:br w:type="page"/>
      </w:r>
    </w:p>
    <w:p>
      <w:r>
        <w:br w:type="page"/>
      </w:r>
    </w:p>
    <w:p>
      <w:pPr>
        <w:pStyle w:val="Heading1"/>
        <w:keepNext/>
        <w:spacing w:after="60" w:before="340"/>
      </w:pPr>
      <w:r>
        <w:rPr>
          <w:rFonts w:ascii="Calibri" w:cs="Calibri" w:eastAsia="Calibri" w:hAnsi="Calibri"/>
          <w:b/>
          <w:bCs/>
          <w:color w:val="22315B"/>
          <w:sz w:val="28"/>
          <w:szCs w:val="28"/>
        </w:rPr>
        <w:t xml:space="preserve">5.  Strengths of the system</w:t>
      </w:r>
    </w:p>
    <w:p>
      <w:pPr>
        <w:spacing w:after="160" w:line="288"/>
      </w:pPr>
      <w:r>
        <w:rPr>
          <w:rFonts w:ascii="Cambria" w:cs="Cambria" w:eastAsia="Cambria" w:hAnsi="Cambria"/>
          <w:color w:val="1D2430"/>
          <w:sz w:val="21"/>
          <w:szCs w:val="21"/>
        </w:rPr>
        <w:t xml:space="preserve">A review that lists only problems gives a distorted picture. The following are genuine strengths of the system — areas that are well designed and working correctly — and they form a solid foundation on which the open items above can be addressed.</w:t>
      </w:r>
    </w:p>
    <w:p>
      <w:pPr>
        <w:pStyle w:val="Heading2"/>
        <w:keepNext/>
        <w:spacing w:after="60" w:before="260"/>
      </w:pPr>
      <w:r>
        <w:rPr>
          <w:rFonts w:ascii="Calibri" w:cs="Calibri" w:eastAsia="Calibri" w:hAnsi="Calibri"/>
          <w:b/>
          <w:bCs/>
          <w:color w:val="22315B"/>
          <w:sz w:val="23"/>
          <w:szCs w:val="23"/>
        </w:rPr>
        <w:t xml:space="preserve">5.1  The core workflow is automated end to end</w:t>
      </w:r>
    </w:p>
    <w:p>
      <w:pPr>
        <w:spacing w:after="110" w:line="288"/>
      </w:pPr>
      <w:r>
        <w:rPr>
          <w:rFonts w:ascii="Calibri" w:cs="Calibri" w:eastAsia="Calibri" w:hAnsi="Calibri"/>
          <w:b/>
          <w:bCs/>
          <w:color w:val="22315B"/>
          <w:sz w:val="19"/>
          <w:szCs w:val="19"/>
        </w:rPr>
        <w:t xml:space="preserve">Strength.</w:t>
      </w:r>
      <w:r>
        <w:rPr>
          <w:sz w:val="19"/>
          <w:szCs w:val="19"/>
        </w:rPr>
        <w:t xml:space="preserve">   </w:t>
      </w:r>
      <w:r>
        <w:rPr>
          <w:rFonts w:ascii="Cambria" w:cs="Cambria" w:eastAsia="Cambria" w:hAnsi="Cambria"/>
          <w:color w:val="1D2430"/>
          <w:sz w:val="21"/>
          <w:szCs w:val="21"/>
        </w:rPr>
        <w:t xml:space="preserve">When a teacher records a session, the system automatically counts it against the correct student's hour package. There is no separate step in which someone copies figures across, links a session to a package, or re-keys anything by hand.</w:t>
      </w:r>
    </w:p>
    <w:p>
      <w:pPr>
        <w:spacing w:after="110" w:line="288"/>
      </w:pPr>
      <w:r>
        <w:rPr>
          <w:rFonts w:ascii="Calibri" w:cs="Calibri" w:eastAsia="Calibri" w:hAnsi="Calibri"/>
          <w:b/>
          <w:bCs/>
          <w:color w:val="22315B"/>
          <w:sz w:val="19"/>
          <w:szCs w:val="19"/>
        </w:rPr>
        <w:t xml:space="preserve">Why it matters.</w:t>
      </w:r>
      <w:r>
        <w:rPr>
          <w:sz w:val="19"/>
          <w:szCs w:val="19"/>
        </w:rPr>
        <w:t xml:space="preserve">   </w:t>
      </w:r>
      <w:r>
        <w:rPr>
          <w:rFonts w:ascii="Cambria" w:cs="Cambria" w:eastAsia="Cambria" w:hAnsi="Cambria"/>
          <w:color w:val="1D2430"/>
          <w:sz w:val="21"/>
          <w:szCs w:val="21"/>
        </w:rPr>
        <w:t xml:space="preserve">Manual re-entry is the most common source of errors and lost time in systems of this kind. By making the connection automatic, an entire category of mistakes is designed out, and the day-to-day process is quick for the people using it.</w:t>
      </w:r>
    </w:p>
    <w:p>
      <w:pPr>
        <w:spacing w:after="80"/>
      </w:pPr>
    </w:p>
    <w:p>
      <w:pPr>
        <w:pStyle w:val="Heading2"/>
        <w:keepNext/>
        <w:spacing w:after="60" w:before="260"/>
      </w:pPr>
      <w:r>
        <w:rPr>
          <w:rFonts w:ascii="Calibri" w:cs="Calibri" w:eastAsia="Calibri" w:hAnsi="Calibri"/>
          <w:b/>
          <w:bCs/>
          <w:color w:val="22315B"/>
          <w:sz w:val="23"/>
          <w:szCs w:val="23"/>
        </w:rPr>
        <w:t xml:space="preserve">5.2  Billing rules are handled correctly and consistently</w:t>
      </w:r>
    </w:p>
    <w:p>
      <w:pPr>
        <w:spacing w:after="110" w:line="288"/>
      </w:pPr>
      <w:r>
        <w:rPr>
          <w:rFonts w:ascii="Calibri" w:cs="Calibri" w:eastAsia="Calibri" w:hAnsi="Calibri"/>
          <w:b/>
          <w:bCs/>
          <w:color w:val="22315B"/>
          <w:sz w:val="19"/>
          <w:szCs w:val="19"/>
        </w:rPr>
        <w:t xml:space="preserve">Strength.</w:t>
      </w:r>
      <w:r>
        <w:rPr>
          <w:sz w:val="19"/>
          <w:szCs w:val="19"/>
        </w:rPr>
        <w:t xml:space="preserve">   </w:t>
      </w:r>
      <w:r>
        <w:rPr>
          <w:rFonts w:ascii="Cambria" w:cs="Cambria" w:eastAsia="Cambria" w:hAnsi="Cambria"/>
          <w:color w:val="1D2430"/>
          <w:sz w:val="21"/>
          <w:szCs w:val="21"/>
        </w:rPr>
        <w:t xml:space="preserve">The three no-show types each behave as intended — determining correctly whether the teacher is paid and whether the student's hours are deducted — and this logic is defined in one place and reused everywhere it is needed.</w:t>
      </w:r>
    </w:p>
    <w:p>
      <w:pPr>
        <w:spacing w:after="110" w:line="288"/>
      </w:pPr>
      <w:r>
        <w:rPr>
          <w:rFonts w:ascii="Calibri" w:cs="Calibri" w:eastAsia="Calibri" w:hAnsi="Calibri"/>
          <w:b/>
          <w:bCs/>
          <w:color w:val="22315B"/>
          <w:sz w:val="19"/>
          <w:szCs w:val="19"/>
        </w:rPr>
        <w:t xml:space="preserve">Why it matters.</w:t>
      </w:r>
      <w:r>
        <w:rPr>
          <w:sz w:val="19"/>
          <w:szCs w:val="19"/>
        </w:rPr>
        <w:t xml:space="preserve">   </w:t>
      </w:r>
      <w:r>
        <w:rPr>
          <w:rFonts w:ascii="Cambria" w:cs="Cambria" w:eastAsia="Cambria" w:hAnsi="Cambria"/>
          <w:color w:val="1D2430"/>
          <w:sz w:val="21"/>
          <w:szCs w:val="21"/>
        </w:rPr>
        <w:t xml:space="preserve">Defining a rule once and reusing it means every screen and report treats a no-show the same way. There is no risk of one page counting it differently from another, which is a common cause of figures that do not agree across a system.</w:t>
      </w:r>
    </w:p>
    <w:p>
      <w:pPr>
        <w:spacing w:after="80"/>
      </w:pPr>
    </w:p>
    <w:p>
      <w:pPr>
        <w:pStyle w:val="Heading2"/>
        <w:keepNext/>
        <w:spacing w:after="60" w:before="260"/>
      </w:pPr>
      <w:r>
        <w:rPr>
          <w:rFonts w:ascii="Calibri" w:cs="Calibri" w:eastAsia="Calibri" w:hAnsi="Calibri"/>
          <w:b/>
          <w:bCs/>
          <w:color w:val="22315B"/>
          <w:sz w:val="23"/>
          <w:szCs w:val="23"/>
        </w:rPr>
        <w:t xml:space="preserve">5.3  Month-end figures are protected at the foundation</w:t>
      </w:r>
    </w:p>
    <w:p>
      <w:pPr>
        <w:spacing w:after="110" w:line="288"/>
      </w:pPr>
      <w:r>
        <w:rPr>
          <w:rFonts w:ascii="Calibri" w:cs="Calibri" w:eastAsia="Calibri" w:hAnsi="Calibri"/>
          <w:b/>
          <w:bCs/>
          <w:color w:val="22315B"/>
          <w:sz w:val="19"/>
          <w:szCs w:val="19"/>
        </w:rPr>
        <w:t xml:space="preserve">Strength.</w:t>
      </w:r>
      <w:r>
        <w:rPr>
          <w:sz w:val="19"/>
          <w:szCs w:val="19"/>
        </w:rPr>
        <w:t xml:space="preserve">   </w:t>
      </w:r>
      <w:r>
        <w:rPr>
          <w:rFonts w:ascii="Cambria" w:cs="Cambria" w:eastAsia="Cambria" w:hAnsi="Cambria"/>
          <w:color w:val="1D2430"/>
          <w:sz w:val="21"/>
          <w:szCs w:val="21"/>
        </w:rPr>
        <w:t xml:space="preserve">Once a month is locked, its sessions can no longer be added to, edited or deleted. This protection is enforced by the database itself, not merely hidden in the interface.</w:t>
      </w:r>
    </w:p>
    <w:p>
      <w:pPr>
        <w:spacing w:after="110" w:line="288"/>
      </w:pPr>
      <w:r>
        <w:rPr>
          <w:rFonts w:ascii="Calibri" w:cs="Calibri" w:eastAsia="Calibri" w:hAnsi="Calibri"/>
          <w:b/>
          <w:bCs/>
          <w:color w:val="22315B"/>
          <w:sz w:val="19"/>
          <w:szCs w:val="19"/>
        </w:rPr>
        <w:t xml:space="preserve">Why it matters.</w:t>
      </w:r>
      <w:r>
        <w:rPr>
          <w:sz w:val="19"/>
          <w:szCs w:val="19"/>
        </w:rPr>
        <w:t xml:space="preserve">   </w:t>
      </w:r>
      <w:r>
        <w:rPr>
          <w:rFonts w:ascii="Cambria" w:cs="Cambria" w:eastAsia="Cambria" w:hAnsi="Cambria"/>
          <w:color w:val="1D2430"/>
          <w:sz w:val="21"/>
          <w:szCs w:val="21"/>
        </w:rPr>
        <w:t xml:space="preserve">Because the rule lives at the deepest level of the system, it holds regardless of how someone tries to change the data. Locked months are genuinely final, which is exactly what a reporting and payment record needs.</w:t>
      </w:r>
    </w:p>
    <w:p>
      <w:pPr>
        <w:spacing w:after="80"/>
      </w:pPr>
    </w:p>
    <w:p>
      <w:pPr>
        <w:pStyle w:val="Heading2"/>
        <w:keepNext/>
        <w:spacing w:after="60" w:before="260"/>
      </w:pPr>
      <w:r>
        <w:rPr>
          <w:rFonts w:ascii="Calibri" w:cs="Calibri" w:eastAsia="Calibri" w:hAnsi="Calibri"/>
          <w:b/>
          <w:bCs/>
          <w:color w:val="22315B"/>
          <w:sz w:val="23"/>
          <w:szCs w:val="23"/>
        </w:rPr>
        <w:t xml:space="preserve">5.4  Information is held in structured, catalogue-backed records</w:t>
      </w:r>
    </w:p>
    <w:p>
      <w:pPr>
        <w:spacing w:after="110" w:line="288"/>
      </w:pPr>
      <w:r>
        <w:rPr>
          <w:rFonts w:ascii="Calibri" w:cs="Calibri" w:eastAsia="Calibri" w:hAnsi="Calibri"/>
          <w:b/>
          <w:bCs/>
          <w:color w:val="22315B"/>
          <w:sz w:val="19"/>
          <w:szCs w:val="19"/>
        </w:rPr>
        <w:t xml:space="preserve">Strength.</w:t>
      </w:r>
      <w:r>
        <w:rPr>
          <w:sz w:val="19"/>
          <w:szCs w:val="19"/>
        </w:rPr>
        <w:t xml:space="preserve">   </w:t>
      </w:r>
      <w:r>
        <w:rPr>
          <w:rFonts w:ascii="Cambria" w:cs="Cambria" w:eastAsia="Cambria" w:hAnsi="Cambria"/>
          <w:color w:val="1D2430"/>
          <w:sz w:val="21"/>
          <w:szCs w:val="21"/>
        </w:rPr>
        <w:t xml:space="preserve">Students, teachers, coaches and subjects are held as proper structured records linked together, rather than as loose typed-in text, and the subject list is drawn from a maintained catalogue of the organisation's real offerings.</w:t>
      </w:r>
    </w:p>
    <w:p>
      <w:pPr>
        <w:spacing w:after="110" w:line="288"/>
      </w:pPr>
      <w:r>
        <w:rPr>
          <w:rFonts w:ascii="Calibri" w:cs="Calibri" w:eastAsia="Calibri" w:hAnsi="Calibri"/>
          <w:b/>
          <w:bCs/>
          <w:color w:val="22315B"/>
          <w:sz w:val="19"/>
          <w:szCs w:val="19"/>
        </w:rPr>
        <w:t xml:space="preserve">Why it matters.</w:t>
      </w:r>
      <w:r>
        <w:rPr>
          <w:sz w:val="19"/>
          <w:szCs w:val="19"/>
        </w:rPr>
        <w:t xml:space="preserve">   </w:t>
      </w:r>
      <w:r>
        <w:rPr>
          <w:rFonts w:ascii="Cambria" w:cs="Cambria" w:eastAsia="Cambria" w:hAnsi="Cambria"/>
          <w:color w:val="1D2430"/>
          <w:sz w:val="21"/>
          <w:szCs w:val="21"/>
        </w:rPr>
        <w:t xml:space="preserve">Structured records prevent a whole class of everyday errors — misspelled names, the same subject entered three different ways — and keep reporting reliable, because everything refers back to a single agreed list rather than to whatever someone happened to type.</w:t>
      </w:r>
    </w:p>
    <w:p>
      <w:pPr>
        <w:spacing w:after="80"/>
      </w:pPr>
    </w:p>
    <w:p>
      <w:pPr>
        <w:pStyle w:val="Heading2"/>
        <w:keepNext/>
        <w:spacing w:after="60" w:before="260"/>
      </w:pPr>
      <w:r>
        <w:rPr>
          <w:rFonts w:ascii="Calibri" w:cs="Calibri" w:eastAsia="Calibri" w:hAnsi="Calibri"/>
          <w:b/>
          <w:bCs/>
          <w:color w:val="22315B"/>
          <w:sz w:val="23"/>
          <w:szCs w:val="23"/>
        </w:rPr>
        <w:t xml:space="preserve">5.5  Access is controlled at the database, not just the screen</w:t>
      </w:r>
    </w:p>
    <w:p>
      <w:pPr>
        <w:spacing w:after="110" w:line="288"/>
      </w:pPr>
      <w:r>
        <w:rPr>
          <w:rFonts w:ascii="Calibri" w:cs="Calibri" w:eastAsia="Calibri" w:hAnsi="Calibri"/>
          <w:b/>
          <w:bCs/>
          <w:color w:val="22315B"/>
          <w:sz w:val="19"/>
          <w:szCs w:val="19"/>
        </w:rPr>
        <w:t xml:space="preserve">Strength.</w:t>
      </w:r>
      <w:r>
        <w:rPr>
          <w:sz w:val="19"/>
          <w:szCs w:val="19"/>
        </w:rPr>
        <w:t xml:space="preserve">   </w:t>
      </w:r>
      <w:r>
        <w:rPr>
          <w:rFonts w:ascii="Cambria" w:cs="Cambria" w:eastAsia="Cambria" w:hAnsi="Cambria"/>
          <w:color w:val="1D2430"/>
          <w:sz w:val="21"/>
          <w:szCs w:val="21"/>
        </w:rPr>
        <w:t xml:space="preserve">Every table in the system carries access rules enforced at the database level, so who can see and change what is decided at the foundation rather than only in the interface. Each role — administrator, teacher, coach, student — has its own appropriate view.</w:t>
      </w:r>
    </w:p>
    <w:p>
      <w:pPr>
        <w:spacing w:after="110" w:line="288"/>
      </w:pPr>
      <w:r>
        <w:rPr>
          <w:rFonts w:ascii="Calibri" w:cs="Calibri" w:eastAsia="Calibri" w:hAnsi="Calibri"/>
          <w:b/>
          <w:bCs/>
          <w:color w:val="22315B"/>
          <w:sz w:val="19"/>
          <w:szCs w:val="19"/>
        </w:rPr>
        <w:t xml:space="preserve">Why it matters.</w:t>
      </w:r>
      <w:r>
        <w:rPr>
          <w:sz w:val="19"/>
          <w:szCs w:val="19"/>
        </w:rPr>
        <w:t xml:space="preserve">   </w:t>
      </w:r>
      <w:r>
        <w:rPr>
          <w:rFonts w:ascii="Cambria" w:cs="Cambria" w:eastAsia="Cambria" w:hAnsi="Cambria"/>
          <w:color w:val="1D2430"/>
          <w:sz w:val="21"/>
          <w:szCs w:val="21"/>
        </w:rPr>
        <w:t xml:space="preserve">Controls that live only in the interface can be bypassed; controls at the database cannot. This is the stronger and correct place to enforce that, for example, a student can only ever see their own information.</w:t>
      </w:r>
    </w:p>
    <w:p>
      <w:pPr>
        <w:spacing w:after="80"/>
      </w:pPr>
    </w:p>
    <w:p>
      <w:pPr>
        <w:pStyle w:val="Heading2"/>
        <w:keepNext/>
        <w:spacing w:after="60" w:before="260"/>
      </w:pPr>
      <w:r>
        <w:rPr>
          <w:rFonts w:ascii="Calibri" w:cs="Calibri" w:eastAsia="Calibri" w:hAnsi="Calibri"/>
          <w:b/>
          <w:bCs/>
          <w:color w:val="22315B"/>
          <w:sz w:val="23"/>
          <w:szCs w:val="23"/>
        </w:rPr>
        <w:t xml:space="preserve">5.6  The design has been thought through and documented</w:t>
      </w:r>
    </w:p>
    <w:p>
      <w:pPr>
        <w:spacing w:after="110" w:line="288"/>
      </w:pPr>
      <w:r>
        <w:rPr>
          <w:rFonts w:ascii="Calibri" w:cs="Calibri" w:eastAsia="Calibri" w:hAnsi="Calibri"/>
          <w:b/>
          <w:bCs/>
          <w:color w:val="22315B"/>
          <w:sz w:val="19"/>
          <w:szCs w:val="19"/>
        </w:rPr>
        <w:t xml:space="preserve">Strength.</w:t>
      </w:r>
      <w:r>
        <w:rPr>
          <w:sz w:val="19"/>
          <w:szCs w:val="19"/>
        </w:rPr>
        <w:t xml:space="preserve">   </w:t>
      </w:r>
      <w:r>
        <w:rPr>
          <w:rFonts w:ascii="Cambria" w:cs="Cambria" w:eastAsia="Cambria" w:hAnsi="Cambria"/>
          <w:color w:val="1D2430"/>
          <w:sz w:val="21"/>
          <w:szCs w:val="21"/>
        </w:rPr>
        <w:t xml:space="preserve">The more complex parts of the system — bundled hour pools, the different no-show types, month-end reporting — have been worked through with care, and the system's design and data structure are documented and kept up to date as the single reference.</w:t>
      </w:r>
    </w:p>
    <w:p>
      <w:pPr>
        <w:spacing w:after="110" w:line="288"/>
      </w:pPr>
      <w:r>
        <w:rPr>
          <w:rFonts w:ascii="Calibri" w:cs="Calibri" w:eastAsia="Calibri" w:hAnsi="Calibri"/>
          <w:b/>
          <w:bCs/>
          <w:color w:val="22315B"/>
          <w:sz w:val="19"/>
          <w:szCs w:val="19"/>
        </w:rPr>
        <w:t xml:space="preserve">Why it matters.</w:t>
      </w:r>
      <w:r>
        <w:rPr>
          <w:sz w:val="19"/>
          <w:szCs w:val="19"/>
        </w:rPr>
        <w:t xml:space="preserve">   </w:t>
      </w:r>
      <w:r>
        <w:rPr>
          <w:rFonts w:ascii="Cambria" w:cs="Cambria" w:eastAsia="Cambria" w:hAnsi="Cambria"/>
          <w:color w:val="1D2430"/>
          <w:sz w:val="21"/>
          <w:szCs w:val="21"/>
        </w:rPr>
        <w:t xml:space="preserve">Careful handling of the difficult cases is what separates a system that works in a demonstration from one that holds up in daily use. Good documentation also means the system can be maintained and extended in future without relying on any one person's memory.</w:t>
      </w:r>
    </w:p>
    <w:p>
      <w:pPr>
        <w:spacing w:after="80"/>
      </w:pPr>
    </w:p>
    <w:p>
      <w:pPr>
        <w:spacing w:after="110" w:line="288"/>
      </w:pPr>
      <w:r>
        <w:rPr>
          <w:rFonts w:ascii="Calibri" w:cs="Calibri" w:eastAsia="Calibri" w:hAnsi="Calibri"/>
          <w:b/>
          <w:bCs/>
          <w:color w:val="22315B"/>
          <w:sz w:val="19"/>
          <w:szCs w:val="19"/>
        </w:rPr>
        <w:t xml:space="preserve">In summary.</w:t>
      </w:r>
      <w:r>
        <w:rPr>
          <w:sz w:val="19"/>
          <w:szCs w:val="19"/>
        </w:rPr>
        <w:t xml:space="preserve">   </w:t>
      </w:r>
      <w:r>
        <w:rPr>
          <w:rFonts w:ascii="Cambria" w:cs="Cambria" w:eastAsia="Cambria" w:hAnsi="Cambria"/>
          <w:color w:val="1D2430"/>
          <w:sz w:val="21"/>
          <w:szCs w:val="21"/>
        </w:rPr>
        <w:t xml:space="preserve">The foundations — the data model, the automatic billing flow, the security model and the month-end safeguards — are sound. The open items in this report are refinements and additions to a system that is already fundamentally well built.</w:t>
      </w:r>
    </w:p>
    <w:p>
      <w:pPr>
        <w:pStyle w:val="Heading1"/>
        <w:keepNext/>
        <w:spacing w:after="60" w:before="340"/>
      </w:pPr>
      <w:r>
        <w:rPr>
          <w:rFonts w:ascii="Calibri" w:cs="Calibri" w:eastAsia="Calibri" w:hAnsi="Calibri"/>
          <w:b/>
          <w:bCs/>
          <w:color w:val="22315B"/>
          <w:sz w:val="28"/>
          <w:szCs w:val="28"/>
        </w:rPr>
        <w:t xml:space="preserve">6.  Recommended sequence</w:t>
      </w:r>
    </w:p>
    <w:p>
      <w:pPr>
        <w:spacing w:after="160" w:line="288"/>
      </w:pPr>
      <w:r>
        <w:rPr>
          <w:rFonts w:ascii="Cambria" w:cs="Cambria" w:eastAsia="Cambria" w:hAnsi="Cambria"/>
          <w:color w:val="1D2430"/>
          <w:sz w:val="21"/>
          <w:szCs w:val="21"/>
        </w:rPr>
        <w:t xml:space="preserve">The following order is suggested for addressing the open items:</w:t>
      </w:r>
    </w:p>
    <w:tbl>
      <w:tblPr>
        <w:tblW w:type="dxa" w:w="9360"/>
        <w:tblBorders>
          <w:top w:val="single" w:color="C9CFDA" w:sz="4"/>
          <w:left w:val="single" w:color="C9CFDA" w:sz="4"/>
          <w:bottom w:val="single" w:color="C9CFDA" w:sz="4"/>
          <w:right w:val="single" w:color="C9CFDA" w:sz="4"/>
          <w:insideH w:val="single" w:color="C9CFDA" w:sz="4"/>
          <w:insideV w:val="single" w:color="C9CFDA" w:sz="4"/>
        </w:tblBorders>
      </w:tblPr>
      <w:tblGrid>
        <w:gridCol w:w="2100"/>
        <w:gridCol w:w="7260"/>
      </w:tblGrid>
      <w:tr>
        <w:trPr>
          <w:tblHeader/>
        </w:trPr>
        <w:tc>
          <w:tcPr>
            <w:tcW w:type="dxa" w:w="2100"/>
            <w:tcBorders>
              <w:top w:val="single" w:color="C9CFDA" w:sz="4"/>
              <w:left w:val="single" w:color="C9CFDA" w:sz="4"/>
              <w:bottom w:val="single" w:color="C9CFDA" w:sz="4"/>
              <w:right w:val="single" w:color="C9CFDA" w:sz="4"/>
            </w:tcBorders>
            <w:shd w:fill="22315B" w:color="auto" w:val="clear"/>
            <w:tcMar>
              <w:top w:type="dxa" w:w="70"/>
              <w:left w:type="dxa" w:w="110"/>
              <w:bottom w:type="dxa" w:w="70"/>
              <w:right w:type="dxa" w:w="110"/>
            </w:tcMar>
          </w:tcPr>
          <w:p>
            <w:pPr>
              <w:spacing w:after="0"/>
            </w:pPr>
            <w:r>
              <w:rPr>
                <w:rFonts w:ascii="Calibri" w:cs="Calibri" w:eastAsia="Calibri" w:hAnsi="Calibri"/>
                <w:b/>
                <w:bCs/>
                <w:color w:val="FFFFFF"/>
                <w:sz w:val="18"/>
                <w:szCs w:val="18"/>
              </w:rPr>
              <w:t xml:space="preserve">Priority</w:t>
            </w:r>
          </w:p>
        </w:tc>
        <w:tc>
          <w:tcPr>
            <w:tcW w:type="dxa" w:w="7260"/>
            <w:tcBorders>
              <w:top w:val="single" w:color="C9CFDA" w:sz="4"/>
              <w:left w:val="single" w:color="C9CFDA" w:sz="4"/>
              <w:bottom w:val="single" w:color="C9CFDA" w:sz="4"/>
              <w:right w:val="single" w:color="C9CFDA" w:sz="4"/>
            </w:tcBorders>
            <w:shd w:fill="22315B" w:color="auto" w:val="clear"/>
            <w:tcMar>
              <w:top w:type="dxa" w:w="70"/>
              <w:left w:type="dxa" w:w="110"/>
              <w:bottom w:type="dxa" w:w="70"/>
              <w:right w:type="dxa" w:w="110"/>
            </w:tcMar>
          </w:tcPr>
          <w:p>
            <w:pPr>
              <w:spacing w:after="0"/>
            </w:pPr>
            <w:r>
              <w:rPr>
                <w:rFonts w:ascii="Calibri" w:cs="Calibri" w:eastAsia="Calibri" w:hAnsi="Calibri"/>
                <w:b/>
                <w:bCs/>
                <w:color w:val="FFFFFF"/>
                <w:sz w:val="18"/>
                <w:szCs w:val="18"/>
              </w:rPr>
              <w:t xml:space="preserve">Items</w:t>
            </w:r>
          </w:p>
        </w:tc>
      </w:tr>
      <w:tr>
        <w:trPr>
          <w:tblHeader w:val="false"/>
        </w:trPr>
        <w:tc>
          <w:tcPr>
            <w:tcW w:type="dxa" w:w="2100"/>
            <w:tcBorders>
              <w:top w:val="single" w:color="C9CFDA" w:sz="4"/>
              <w:left w:val="single" w:color="C9CFDA" w:sz="4"/>
              <w:bottom w:val="single" w:color="C9CFDA" w:sz="4"/>
              <w:right w:val="single" w:color="C9CFDA" w:sz="4"/>
            </w:tcBorders>
            <w:tcMar>
              <w:top w:type="dxa" w:w="70"/>
              <w:left w:type="dxa" w:w="110"/>
              <w:bottom w:type="dxa" w:w="70"/>
              <w:right w:type="dxa" w:w="110"/>
            </w:tcMar>
          </w:tcPr>
          <w:p>
            <w:pPr>
              <w:spacing w:after="0"/>
            </w:pPr>
            <w:r>
              <w:rPr>
                <w:rFonts w:ascii="Calibri" w:cs="Calibri" w:eastAsia="Calibri" w:hAnsi="Calibri"/>
                <w:b/>
                <w:bCs/>
                <w:color w:val="1D2430"/>
                <w:sz w:val="19"/>
                <w:szCs w:val="19"/>
              </w:rPr>
              <w:t xml:space="preserve">Completed</w:t>
            </w:r>
          </w:p>
        </w:tc>
        <w:tc>
          <w:tcPr>
            <w:tcW w:type="dxa" w:w="7260"/>
            <w:tcBorders>
              <w:top w:val="single" w:color="C9CFDA" w:sz="4"/>
              <w:left w:val="single" w:color="C9CFDA" w:sz="4"/>
              <w:bottom w:val="single" w:color="C9CFDA" w:sz="4"/>
              <w:right w:val="single" w:color="C9CFDA" w:sz="4"/>
            </w:tcBorders>
            <w:tcMar>
              <w:top w:type="dxa" w:w="70"/>
              <w:left w:type="dxa" w:w="110"/>
              <w:bottom w:type="dxa" w:w="70"/>
              <w:right w:type="dxa" w:w="110"/>
            </w:tcMar>
          </w:tcPr>
          <w:p>
            <w:pPr>
              <w:spacing w:after="0"/>
            </w:pPr>
            <w:r>
              <w:rPr>
                <w:rFonts w:ascii="Calibri" w:cs="Calibri" w:eastAsia="Calibri" w:hAnsi="Calibri"/>
                <w:b w:val="false"/>
                <w:bCs w:val="false"/>
                <w:color w:val="1D2430"/>
                <w:sz w:val="19"/>
                <w:szCs w:val="19"/>
              </w:rPr>
              <w:t xml:space="preserve">Month-end summary lock (finding 3.1) and a stored hours-used figure (finding 3.4) — both corrected during this review.</w:t>
            </w:r>
          </w:p>
        </w:tc>
      </w:tr>
      <w:tr>
        <w:trPr>
          <w:tblHeader w:val="false"/>
        </w:trPr>
        <w:tc>
          <w:tcPr>
            <w:tcW w:type="dxa" w:w="2100"/>
            <w:tcBorders>
              <w:top w:val="single" w:color="C9CFDA" w:sz="4"/>
              <w:left w:val="single" w:color="C9CFDA" w:sz="4"/>
              <w:bottom w:val="single" w:color="C9CFDA" w:sz="4"/>
              <w:right w:val="single" w:color="C9CFDA" w:sz="4"/>
            </w:tcBorders>
            <w:shd w:fill="F5F6F9" w:color="auto" w:val="clear"/>
            <w:tcMar>
              <w:top w:type="dxa" w:w="70"/>
              <w:left w:type="dxa" w:w="110"/>
              <w:bottom w:type="dxa" w:w="70"/>
              <w:right w:type="dxa" w:w="110"/>
            </w:tcMar>
          </w:tcPr>
          <w:p>
            <w:pPr>
              <w:spacing w:after="0"/>
            </w:pPr>
            <w:r>
              <w:rPr>
                <w:rFonts w:ascii="Calibri" w:cs="Calibri" w:eastAsia="Calibri" w:hAnsi="Calibri"/>
                <w:b/>
                <w:bCs/>
                <w:color w:val="1D2430"/>
                <w:sz w:val="19"/>
                <w:szCs w:val="19"/>
              </w:rPr>
              <w:t xml:space="preserve">First</w:t>
            </w:r>
          </w:p>
        </w:tc>
        <w:tc>
          <w:tcPr>
            <w:tcW w:type="dxa" w:w="7260"/>
            <w:tcBorders>
              <w:top w:val="single" w:color="C9CFDA" w:sz="4"/>
              <w:left w:val="single" w:color="C9CFDA" w:sz="4"/>
              <w:bottom w:val="single" w:color="C9CFDA" w:sz="4"/>
              <w:right w:val="single" w:color="C9CFDA" w:sz="4"/>
            </w:tcBorders>
            <w:shd w:fill="F5F6F9" w:color="auto" w:val="clear"/>
            <w:tcMar>
              <w:top w:type="dxa" w:w="70"/>
              <w:left w:type="dxa" w:w="110"/>
              <w:bottom w:type="dxa" w:w="70"/>
              <w:right w:type="dxa" w:w="110"/>
            </w:tcMar>
          </w:tcPr>
          <w:p>
            <w:pPr>
              <w:spacing w:after="0"/>
            </w:pPr>
            <w:r>
              <w:rPr>
                <w:rFonts w:ascii="Calibri" w:cs="Calibri" w:eastAsia="Calibri" w:hAnsi="Calibri"/>
                <w:b w:val="false"/>
                <w:bCs w:val="false"/>
                <w:color w:val="1D2430"/>
                <w:sz w:val="19"/>
                <w:szCs w:val="19"/>
              </w:rPr>
              <w:t xml:space="preserve">A pricing model for monetary amounts (4.1); confirmation that reminder emails are active (4.3).</w:t>
            </w:r>
          </w:p>
        </w:tc>
      </w:tr>
      <w:tr>
        <w:trPr>
          <w:tblHeader w:val="false"/>
        </w:trPr>
        <w:tc>
          <w:tcPr>
            <w:tcW w:type="dxa" w:w="2100"/>
            <w:tcBorders>
              <w:top w:val="single" w:color="C9CFDA" w:sz="4"/>
              <w:left w:val="single" w:color="C9CFDA" w:sz="4"/>
              <w:bottom w:val="single" w:color="C9CFDA" w:sz="4"/>
              <w:right w:val="single" w:color="C9CFDA" w:sz="4"/>
            </w:tcBorders>
            <w:tcMar>
              <w:top w:type="dxa" w:w="70"/>
              <w:left w:type="dxa" w:w="110"/>
              <w:bottom w:type="dxa" w:w="70"/>
              <w:right w:type="dxa" w:w="110"/>
            </w:tcMar>
          </w:tcPr>
          <w:p>
            <w:pPr>
              <w:spacing w:after="0"/>
            </w:pPr>
            <w:r>
              <w:rPr>
                <w:rFonts w:ascii="Calibri" w:cs="Calibri" w:eastAsia="Calibri" w:hAnsi="Calibri"/>
                <w:b/>
                <w:bCs/>
                <w:color w:val="1D2430"/>
                <w:sz w:val="19"/>
                <w:szCs w:val="19"/>
              </w:rPr>
              <w:t xml:space="preserve">Next</w:t>
            </w:r>
          </w:p>
        </w:tc>
        <w:tc>
          <w:tcPr>
            <w:tcW w:type="dxa" w:w="7260"/>
            <w:tcBorders>
              <w:top w:val="single" w:color="C9CFDA" w:sz="4"/>
              <w:left w:val="single" w:color="C9CFDA" w:sz="4"/>
              <w:bottom w:val="single" w:color="C9CFDA" w:sz="4"/>
              <w:right w:val="single" w:color="C9CFDA" w:sz="4"/>
            </w:tcBorders>
            <w:tcMar>
              <w:top w:type="dxa" w:w="70"/>
              <w:left w:type="dxa" w:w="110"/>
              <w:bottom w:type="dxa" w:w="70"/>
              <w:right w:type="dxa" w:w="110"/>
            </w:tcMar>
          </w:tcPr>
          <w:p>
            <w:pPr>
              <w:spacing w:after="0"/>
            </w:pPr>
            <w:r>
              <w:rPr>
                <w:rFonts w:ascii="Calibri" w:cs="Calibri" w:eastAsia="Calibri" w:hAnsi="Calibri"/>
                <w:b w:val="false"/>
                <w:bCs w:val="false"/>
                <w:color w:val="1D2430"/>
                <w:sz w:val="19"/>
                <w:szCs w:val="19"/>
              </w:rPr>
              <w:t xml:space="preserve">On-screen lists for over-limit and unassigned sessions (3.2, 3.3).</w:t>
            </w:r>
          </w:p>
        </w:tc>
      </w:tr>
      <w:tr>
        <w:trPr>
          <w:tblHeader w:val="false"/>
        </w:trPr>
        <w:tc>
          <w:tcPr>
            <w:tcW w:type="dxa" w:w="2100"/>
            <w:tcBorders>
              <w:top w:val="single" w:color="C9CFDA" w:sz="4"/>
              <w:left w:val="single" w:color="C9CFDA" w:sz="4"/>
              <w:bottom w:val="single" w:color="C9CFDA" w:sz="4"/>
              <w:right w:val="single" w:color="C9CFDA" w:sz="4"/>
            </w:tcBorders>
            <w:shd w:fill="F5F6F9" w:color="auto" w:val="clear"/>
            <w:tcMar>
              <w:top w:type="dxa" w:w="70"/>
              <w:left w:type="dxa" w:w="110"/>
              <w:bottom w:type="dxa" w:w="70"/>
              <w:right w:type="dxa" w:w="110"/>
            </w:tcMar>
          </w:tcPr>
          <w:p>
            <w:pPr>
              <w:spacing w:after="0"/>
            </w:pPr>
            <w:r>
              <w:rPr>
                <w:rFonts w:ascii="Calibri" w:cs="Calibri" w:eastAsia="Calibri" w:hAnsi="Calibri"/>
                <w:b/>
                <w:bCs/>
                <w:color w:val="1D2430"/>
                <w:sz w:val="19"/>
                <w:szCs w:val="19"/>
              </w:rPr>
              <w:t xml:space="preserve">Once fully built</w:t>
            </w:r>
          </w:p>
        </w:tc>
        <w:tc>
          <w:tcPr>
            <w:tcW w:type="dxa" w:w="7260"/>
            <w:tcBorders>
              <w:top w:val="single" w:color="C9CFDA" w:sz="4"/>
              <w:left w:val="single" w:color="C9CFDA" w:sz="4"/>
              <w:bottom w:val="single" w:color="C9CFDA" w:sz="4"/>
              <w:right w:val="single" w:color="C9CFDA" w:sz="4"/>
            </w:tcBorders>
            <w:shd w:fill="F5F6F9" w:color="auto" w:val="clear"/>
            <w:tcMar>
              <w:top w:type="dxa" w:w="70"/>
              <w:left w:type="dxa" w:w="110"/>
              <w:bottom w:type="dxa" w:w="70"/>
              <w:right w:type="dxa" w:w="110"/>
            </w:tcMar>
          </w:tcPr>
          <w:p>
            <w:pPr>
              <w:spacing w:after="0"/>
            </w:pPr>
            <w:r>
              <w:rPr>
                <w:rFonts w:ascii="Calibri" w:cs="Calibri" w:eastAsia="Calibri" w:hAnsi="Calibri"/>
                <w:b w:val="false"/>
                <w:bCs w:val="false"/>
                <w:color w:val="1D2430"/>
                <w:sz w:val="19"/>
                <w:szCs w:val="19"/>
              </w:rPr>
              <w:t xml:space="preserve">Documented backup-and-restore procedure (4.2) and the two account-security protections (4.4) — planned as part of the wider security measures.</w:t>
            </w:r>
          </w:p>
        </w:tc>
      </w:tr>
    </w:tbl>
    <w:p>
      <w:pPr>
        <w:pBdr>
          <w:bottom w:val="single" w:color="C9CFDA" w:sz="6"/>
        </w:pBdr>
        <w:spacing w:after="140" w:before="160"/>
      </w:pPr>
    </w:p>
    <w:p>
      <w:pPr>
        <w:spacing w:after="160" w:line="288"/>
      </w:pPr>
      <w:r>
        <w:rPr>
          <w:rFonts w:ascii="Cambria" w:cs="Cambria" w:eastAsia="Cambria" w:hAnsi="Cambria"/>
          <w:i/>
          <w:iCs/>
          <w:color w:val="5B6472"/>
          <w:sz w:val="20"/>
          <w:szCs w:val="20"/>
        </w:rPr>
        <w:t xml:space="preserve">The matters raised in this report concern the system's design and current state; they do not reflect any error on the part of the team. They represent the next steps toward making the system fully dependable.</w:t>
      </w:r>
    </w:p>
    <w:sectPr>
      <w:headerReference w:type="default" r:id="rId7"/>
      <w:footerReference w:type="default" r:id="rId8"/>
      <w:pgSz w:w="12240" w:h="15840" w:orient="portrait"/>
      <w:pgMar w:top="1300" w:right="1560" w:bottom="1200" w:left="15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472"/>
        <w:sz w:val="16"/>
        <w:szCs w:val="16"/>
      </w:rPr>
      <w:t xml:space="preserve">Confidential  ·  </w:t>
    </w:r>
    <w:r>
      <w:rPr>
        <w:rFonts w:ascii="Calibri" w:cs="Calibri" w:eastAsia="Calibri" w:hAnsi="Calibri"/>
        <w:color w:val="5B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FDA" w:sz="4"/>
      </w:pBdr>
      <w:jc w:val="right"/>
    </w:pPr>
    <w:r>
      <w:rPr>
        <w:rFonts w:ascii="Calibri" w:cs="Calibri" w:eastAsia="Calibri" w:hAnsi="Calibri"/>
        <w:color w:val="5B6472"/>
        <w:sz w:val="16"/>
        <w:szCs w:val="16"/>
      </w:rPr>
      <w:t xml:space="preserve">Ascend Now  ·  System Analysis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300"/>
      </w:pPr>
    </w:lvl>
  </w:abstractNum>
  <w:abstractNum w:abstractNumId="3"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D24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340"/>
      <w:outlineLvl w:val="0"/>
    </w:pPr>
    <w:rPr>
      <w:rFonts w:ascii="Calibri" w:cs="Calibri" w:eastAsia="Calibri" w:hAnsi="Calibri"/>
      <w:b/>
      <w:bCs/>
      <w:color w:val="22315B"/>
      <w:sz w:val="28"/>
      <w:szCs w:val="28"/>
    </w:rPr>
  </w:style>
  <w:style w:type="paragraph" w:styleId="Heading2">
    <w:name w:val="Heading 2"/>
    <w:basedOn w:val="Normal"/>
    <w:next w:val="Normal"/>
    <w:qFormat/>
    <w:pPr>
      <w:spacing w:after="60" w:before="260"/>
      <w:outlineLvl w:val="1"/>
    </w:pPr>
    <w:rPr>
      <w:rFonts w:ascii="Calibri" w:cs="Calibri" w:eastAsia="Calibri" w:hAnsi="Calibri"/>
      <w:b/>
      <w:bCs/>
      <w:color w:val="22315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Ascend Now — System Analysis Report</dc:title>
  <dc:creator>Ascend Now</dc:creator>
  <cp:lastModifiedBy>Un-named</cp:lastModifiedBy>
  <cp:revision>1</cp:revision>
  <dcterms:created xsi:type="dcterms:W3CDTF">2026-07-21T20:14:17.404Z</dcterms:created>
  <dcterms:modified xsi:type="dcterms:W3CDTF">2026-07-21T20:14:17.416Z</dcterms:modified>
</cp:coreProperties>
</file>

<file path=docProps/custom.xml><?xml version="1.0" encoding="utf-8"?>
<Properties xmlns="http://schemas.openxmlformats.org/officeDocument/2006/custom-properties" xmlns:vt="http://schemas.openxmlformats.org/officeDocument/2006/docPropsVTypes"/>
</file>