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Nei dataset si possono intersecare le colonne degli anni, dei paesi, dei valori di malnutrizione quali: overweight, wasting(bambini troppo magri), stunting, e livelli piu o meno gravi di overweight e wasting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dataset raccolti vengono da: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Unicef 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healthy-life-expectancy.csv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Deaths-among-children-and-youth-age-5-to-24_2020.csv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fusion_CME_UNICEF_1.0_all.csv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Mortality-rate-among-children-and-you-age-5-to-24_2020.csv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GLOBAL_DATAFLOW_2009-2021.csv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JME_Country_Estimates_April_2021_v3.csv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Kaggle :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country-wise-average.csv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World Health Organization: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mortality-rate-age-5-14.csv, child-mortality.csv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World Bank Group: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Unesco: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NATMON_DS_19102021104417052.csv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Roboto" w:cs="Roboto" w:eastAsia="Roboto" w:hAnsi="Roboto"/>
          <w:color w:val="333333"/>
          <w:highlight w:val="white"/>
          <w:rtl w:val="0"/>
        </w:rPr>
        <w:t xml:space="preserve">UNICEF, WHO &amp; World Bank’s Joint global database on child malnutrition provides country-level trends of 4 core child malnutrition indicators: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joint-malnutrition-estimates.csv, malnutrition-estimates.csv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UNICEF_WHO_WB_Global_Expanded_Database_Stunting_Wasting_Overweight_April_2021_v3.csv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