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Carilion Clinic Kidney Transplant Program</w:t>
        <w:br/>
        <w:t>Master Policy &amp; Protocol Index</w:t>
      </w:r>
    </w:p>
    <w:p>
      <w:pPr>
        <w:pStyle w:val="Heading2"/>
      </w:pPr>
      <w:r>
        <w:t>SECTION I — PROGRAM GOVERNANCE &amp; ETHICS</w:t>
      </w:r>
    </w:p>
    <w:p>
      <w:pPr>
        <w:pStyle w:val="ListBullet"/>
      </w:pPr>
      <w:r>
        <w:t>1.1 Program Governance Charter</w:t>
      </w:r>
    </w:p>
    <w:p>
      <w:pPr>
        <w:pStyle w:val="ListBullet"/>
      </w:pPr>
      <w:r>
        <w:t>1.2 Roles &amp; Responsibilities of Program Leadership</w:t>
      </w:r>
    </w:p>
    <w:p>
      <w:pPr>
        <w:pStyle w:val="ListBullet"/>
      </w:pPr>
      <w:r>
        <w:t>1.3 Separation of Donation and Transplant Decision-Making</w:t>
      </w:r>
    </w:p>
    <w:p>
      <w:pPr>
        <w:pStyle w:val="ListBullet"/>
      </w:pPr>
      <w:r>
        <w:t>1.4 Ethics Consultation &amp; Escalation Pathway</w:t>
      </w:r>
    </w:p>
    <w:p>
      <w:pPr>
        <w:pStyle w:val="ListBullet"/>
      </w:pPr>
      <w:r>
        <w:t>1.5 Conflict of Interest Disclosure Policy</w:t>
      </w:r>
    </w:p>
    <w:p>
      <w:pPr>
        <w:pStyle w:val="ListBullet"/>
      </w:pPr>
      <w:r>
        <w:t>1.6 Equity, Access, and Non-Discrimination Policy</w:t>
      </w:r>
    </w:p>
    <w:p>
      <w:pPr>
        <w:pStyle w:val="ListBullet"/>
      </w:pPr>
      <w:r>
        <w:t>1.7 Informed Consent Framework (Recipient)</w:t>
      </w:r>
    </w:p>
    <w:p>
      <w:pPr>
        <w:pStyle w:val="ListBullet"/>
      </w:pPr>
      <w:r>
        <w:t>1.8 Transparency &amp; Public Trust Statement</w:t>
      </w:r>
    </w:p>
    <w:p>
      <w:pPr>
        <w:pStyle w:val="Heading2"/>
      </w:pPr>
      <w:r>
        <w:t>SECTION II — REGULATORY COMPLIANCE &amp; QUALITY</w:t>
      </w:r>
    </w:p>
    <w:p>
      <w:pPr>
        <w:pStyle w:val="ListBullet"/>
      </w:pPr>
      <w:r>
        <w:t>2.1 CMS Conditions of Participation Compliance Plan</w:t>
      </w:r>
    </w:p>
    <w:p>
      <w:pPr>
        <w:pStyle w:val="ListBullet"/>
      </w:pPr>
      <w:r>
        <w:t>2.2 OPTN / UNOS Policy Compliance Framework</w:t>
      </w:r>
    </w:p>
    <w:p>
      <w:pPr>
        <w:pStyle w:val="ListBullet"/>
      </w:pPr>
      <w:r>
        <w:t>2.3 Data Submission, Validation, and Audit Readiness</w:t>
      </w:r>
    </w:p>
    <w:p>
      <w:pPr>
        <w:pStyle w:val="ListBullet"/>
      </w:pPr>
      <w:r>
        <w:t>2.4 Quality Assurance / Quality Improvement (QA/QI) Program</w:t>
      </w:r>
    </w:p>
    <w:p>
      <w:pPr>
        <w:pStyle w:val="ListBullet"/>
      </w:pPr>
      <w:r>
        <w:t>2.5 Morbidity &amp; Mortality Review Process</w:t>
      </w:r>
    </w:p>
    <w:p>
      <w:pPr>
        <w:pStyle w:val="ListBullet"/>
      </w:pPr>
      <w:r>
        <w:t>2.6 Adverse Event &amp; Sentinel Event Management</w:t>
      </w:r>
    </w:p>
    <w:p>
      <w:pPr>
        <w:pStyle w:val="ListBullet"/>
      </w:pPr>
      <w:r>
        <w:t>2.7 Program Inactivation &amp; Reactivation Policy</w:t>
      </w:r>
    </w:p>
    <w:p>
      <w:pPr>
        <w:pStyle w:val="Heading2"/>
      </w:pPr>
      <w:r>
        <w:t>SECTION III — RECIPIENT REFERRAL, EVALUATION &amp; LISTING</w:t>
      </w:r>
    </w:p>
    <w:p>
      <w:pPr>
        <w:pStyle w:val="ListBullet"/>
      </w:pPr>
      <w:r>
        <w:t>3.1 Referral Intake &amp; Triage Protocol</w:t>
      </w:r>
    </w:p>
    <w:p>
      <w:pPr>
        <w:pStyle w:val="ListBullet"/>
      </w:pPr>
      <w:r>
        <w:t>3.2 Recipient Medical Evaluation Protocol</w:t>
      </w:r>
    </w:p>
    <w:p>
      <w:pPr>
        <w:pStyle w:val="ListBullet"/>
      </w:pPr>
      <w:r>
        <w:t>3.3 Surgical Evaluation Protocol</w:t>
      </w:r>
    </w:p>
    <w:p>
      <w:pPr>
        <w:pStyle w:val="ListBullet"/>
      </w:pPr>
      <w:r>
        <w:t>3.4 Psychosocial &amp; Financial Evaluation</w:t>
      </w:r>
    </w:p>
    <w:p>
      <w:pPr>
        <w:pStyle w:val="ListBullet"/>
      </w:pPr>
      <w:r>
        <w:t>3.5 Immunologic Risk Assessment (HLA, cPRA, DSA)</w:t>
      </w:r>
    </w:p>
    <w:p>
      <w:pPr>
        <w:pStyle w:val="ListBullet"/>
      </w:pPr>
      <w:r>
        <w:t>3.6 Multidisciplinary Selection Committee Process</w:t>
      </w:r>
    </w:p>
    <w:p>
      <w:pPr>
        <w:pStyle w:val="ListBullet"/>
      </w:pPr>
      <w:r>
        <w:t>3.7 Listing, Deferral, and Denial Criteria</w:t>
      </w:r>
    </w:p>
    <w:p>
      <w:pPr>
        <w:pStyle w:val="ListBullet"/>
      </w:pPr>
      <w:r>
        <w:t>3.8 Waitlist Management &amp; Status Changes</w:t>
      </w:r>
    </w:p>
    <w:p>
      <w:pPr>
        <w:pStyle w:val="ListBullet"/>
      </w:pPr>
      <w:r>
        <w:t>3.9 Annual Re-Evaluation Protocol</w:t>
      </w:r>
    </w:p>
    <w:p>
      <w:pPr>
        <w:pStyle w:val="Heading2"/>
      </w:pPr>
      <w:r>
        <w:t>SECTION IV — DECEASED DONOR MANAGEMENT</w:t>
      </w:r>
    </w:p>
    <w:p>
      <w:pPr>
        <w:pStyle w:val="ListBullet"/>
      </w:pPr>
      <w:r>
        <w:t>4.1 Deceased Donor Offer Intake &amp; Review</w:t>
      </w:r>
    </w:p>
    <w:p>
      <w:pPr>
        <w:pStyle w:val="ListBullet"/>
      </w:pPr>
      <w:r>
        <w:t>4.2 Organ Quality &amp; KDPI Assessment</w:t>
      </w:r>
    </w:p>
    <w:p>
      <w:pPr>
        <w:pStyle w:val="ListBullet"/>
      </w:pPr>
      <w:r>
        <w:t>4.3 PHS Increased Risk Donor Policy</w:t>
      </w:r>
    </w:p>
    <w:p>
      <w:pPr>
        <w:pStyle w:val="ListBullet"/>
      </w:pPr>
      <w:r>
        <w:t>4.4 Organ Acceptance Authority &amp; Decision Documentation</w:t>
      </w:r>
    </w:p>
    <w:p>
      <w:pPr>
        <w:pStyle w:val="ListBullet"/>
      </w:pPr>
      <w:r>
        <w:t>4.5 Donation After Circulatory Death (DCD) Kidney Protocol</w:t>
      </w:r>
    </w:p>
    <w:p>
      <w:pPr>
        <w:pStyle w:val="ListBullet"/>
      </w:pPr>
      <w:r>
        <w:t>4.6 Machine Perfusion &amp; Organ Preservation</w:t>
      </w:r>
    </w:p>
    <w:p>
      <w:pPr>
        <w:pStyle w:val="ListBullet"/>
      </w:pPr>
      <w:r>
        <w:t>4.7 Donor-Derived Infection &amp; Malignancy Surveillance</w:t>
      </w:r>
    </w:p>
    <w:p>
      <w:pPr>
        <w:pStyle w:val="Heading2"/>
      </w:pPr>
      <w:r>
        <w:t>SECTION V — PERIOPERATIVE &amp; SURGICAL CARE</w:t>
      </w:r>
    </w:p>
    <w:p>
      <w:pPr>
        <w:pStyle w:val="ListBullet"/>
      </w:pPr>
      <w:r>
        <w:t>5.1 Pre-Operative Recipient Optimization</w:t>
      </w:r>
    </w:p>
    <w:p>
      <w:pPr>
        <w:pStyle w:val="ListBullet"/>
      </w:pPr>
      <w:r>
        <w:t>5.2 Operating Room Kidney Transplant Protocol</w:t>
      </w:r>
    </w:p>
    <w:p>
      <w:pPr>
        <w:pStyle w:val="ListBullet"/>
      </w:pPr>
      <w:r>
        <w:t>5.3 Back-Table &amp; Implantation Standards</w:t>
      </w:r>
    </w:p>
    <w:p>
      <w:pPr>
        <w:pStyle w:val="ListBullet"/>
      </w:pPr>
      <w:r>
        <w:t>5.4 Anesthesia Management for Kidney Transplant</w:t>
      </w:r>
    </w:p>
    <w:p>
      <w:pPr>
        <w:pStyle w:val="ListBullet"/>
      </w:pPr>
      <w:r>
        <w:t>5.5 Intraoperative Complication Management</w:t>
      </w:r>
    </w:p>
    <w:p>
      <w:pPr>
        <w:pStyle w:val="ListBullet"/>
      </w:pPr>
      <w:r>
        <w:t>5.6 Delayed Graft Function (DGF) Management</w:t>
      </w:r>
    </w:p>
    <w:p>
      <w:pPr>
        <w:pStyle w:val="Heading2"/>
      </w:pPr>
      <w:r>
        <w:t>SECTION VI — IMMUNOSUPPRESSION &amp; REJECTION</w:t>
      </w:r>
    </w:p>
    <w:p>
      <w:pPr>
        <w:pStyle w:val="ListBullet"/>
      </w:pPr>
      <w:r>
        <w:t>6.1 Induction Immunosuppression Protocol</w:t>
      </w:r>
    </w:p>
    <w:p>
      <w:pPr>
        <w:pStyle w:val="ListBullet"/>
      </w:pPr>
      <w:r>
        <w:t>6.2 Maintenance Immunosuppression Management</w:t>
      </w:r>
    </w:p>
    <w:p>
      <w:pPr>
        <w:pStyle w:val="ListBullet"/>
      </w:pPr>
      <w:r>
        <w:t>6.3 Therapeutic Drug Monitoring</w:t>
      </w:r>
    </w:p>
    <w:p>
      <w:pPr>
        <w:pStyle w:val="ListBullet"/>
      </w:pPr>
      <w:r>
        <w:t>6.4 Kidney Allograft Biopsy Indications &amp; Handling</w:t>
      </w:r>
    </w:p>
    <w:p>
      <w:pPr>
        <w:pStyle w:val="ListBullet"/>
      </w:pPr>
      <w:r>
        <w:t>6.5 Acute Rejection Diagnosis &amp; Treatment</w:t>
      </w:r>
    </w:p>
    <w:p>
      <w:pPr>
        <w:pStyle w:val="ListBullet"/>
      </w:pPr>
      <w:r>
        <w:t>6.6 Desensitization &amp; High-Risk Immunology Pathways</w:t>
      </w:r>
    </w:p>
    <w:p>
      <w:pPr>
        <w:pStyle w:val="Heading2"/>
      </w:pPr>
      <w:r>
        <w:t>SECTION VII — INFECTION, MALIGNANCY &amp; COMPLICATIONS</w:t>
      </w:r>
    </w:p>
    <w:p>
      <w:pPr>
        <w:pStyle w:val="ListBullet"/>
      </w:pPr>
      <w:r>
        <w:t>7.1 Infectious Prophylaxis (CMV, PJP, Fungal)</w:t>
      </w:r>
    </w:p>
    <w:p>
      <w:pPr>
        <w:pStyle w:val="ListBullet"/>
      </w:pPr>
      <w:r>
        <w:t>7.2 Viral Monitoring (BK Virus, CMV, EBV)</w:t>
      </w:r>
    </w:p>
    <w:p>
      <w:pPr>
        <w:pStyle w:val="ListBullet"/>
      </w:pPr>
      <w:r>
        <w:t>7.3 Post-Transplant Malignancy Surveillance</w:t>
      </w:r>
    </w:p>
    <w:p>
      <w:pPr>
        <w:pStyle w:val="ListBullet"/>
      </w:pPr>
      <w:r>
        <w:t>7.4 Surgical Complication Management Algorithms</w:t>
      </w:r>
    </w:p>
    <w:p>
      <w:pPr>
        <w:pStyle w:val="ListBullet"/>
      </w:pPr>
      <w:r>
        <w:t>7.5 Metabolic &amp; Cardiovascular Complication Management</w:t>
      </w:r>
    </w:p>
    <w:p>
      <w:pPr>
        <w:pStyle w:val="Heading2"/>
      </w:pPr>
      <w:r>
        <w:t>SECTION VIII — INPATIENT, DISCHARGE &amp; TRANSITIONS</w:t>
      </w:r>
    </w:p>
    <w:p>
      <w:pPr>
        <w:pStyle w:val="ListBullet"/>
      </w:pPr>
      <w:r>
        <w:t>8.1 Standard Post-Operative Inpatient Pathway</w:t>
      </w:r>
    </w:p>
    <w:p>
      <w:pPr>
        <w:pStyle w:val="ListBullet"/>
      </w:pPr>
      <w:r>
        <w:t>8.2 Discharge Criteria &amp; Education</w:t>
      </w:r>
    </w:p>
    <w:p>
      <w:pPr>
        <w:pStyle w:val="ListBullet"/>
      </w:pPr>
      <w:r>
        <w:t>8.3 Care Transitions &amp; Handoffs</w:t>
      </w:r>
    </w:p>
    <w:p>
      <w:pPr>
        <w:pStyle w:val="ListBullet"/>
      </w:pPr>
      <w:r>
        <w:t>8.4 Emergency Department &amp; Readmission Pathway</w:t>
      </w:r>
    </w:p>
    <w:p>
      <w:pPr>
        <w:pStyle w:val="Heading2"/>
      </w:pPr>
      <w:r>
        <w:t>SECTION IX — OUTPATIENT &amp; LONG-TERM FOLLOW-UP</w:t>
      </w:r>
    </w:p>
    <w:p>
      <w:pPr>
        <w:pStyle w:val="ListBullet"/>
      </w:pPr>
      <w:r>
        <w:t>9.1 Post-Transplant Clinic Schedule</w:t>
      </w:r>
    </w:p>
    <w:p>
      <w:pPr>
        <w:pStyle w:val="ListBullet"/>
      </w:pPr>
      <w:r>
        <w:t>9.2 Laboratory Monitoring Protocol</w:t>
      </w:r>
    </w:p>
    <w:p>
      <w:pPr>
        <w:pStyle w:val="ListBullet"/>
      </w:pPr>
      <w:r>
        <w:t>9.3 Medication Adherence &amp; Pharmacy Coordination</w:t>
      </w:r>
    </w:p>
    <w:p>
      <w:pPr>
        <w:pStyle w:val="ListBullet"/>
      </w:pPr>
      <w:r>
        <w:t>9.4 Graft Dysfunction Evaluation Algorithm</w:t>
      </w:r>
    </w:p>
    <w:p>
      <w:pPr>
        <w:pStyle w:val="ListBullet"/>
      </w:pPr>
      <w:r>
        <w:t>9.5 Transition to Community Nephrology</w:t>
      </w:r>
    </w:p>
    <w:p>
      <w:pPr>
        <w:pStyle w:val="Heading2"/>
      </w:pPr>
      <w:r>
        <w:t>SECTION X — STAFFING, TRAINING &amp; OPERATIONS</w:t>
      </w:r>
    </w:p>
    <w:p>
      <w:pPr>
        <w:pStyle w:val="ListBullet"/>
      </w:pPr>
      <w:r>
        <w:t>10.1 Staffing Model &amp; Coverage Requirements</w:t>
      </w:r>
    </w:p>
    <w:p>
      <w:pPr>
        <w:pStyle w:val="ListBullet"/>
      </w:pPr>
      <w:r>
        <w:t>10.2 Credentialing &amp; Competency Validation</w:t>
      </w:r>
    </w:p>
    <w:p>
      <w:pPr>
        <w:pStyle w:val="ListBullet"/>
      </w:pPr>
      <w:r>
        <w:t>10.3 Transplant Coordinator Scope of Practice</w:t>
      </w:r>
    </w:p>
    <w:p>
      <w:pPr>
        <w:pStyle w:val="ListBullet"/>
      </w:pPr>
      <w:r>
        <w:t>10.4 On-Call Coverage &amp; Escalation Ladder</w:t>
      </w:r>
    </w:p>
    <w:p>
      <w:pPr>
        <w:pStyle w:val="ListBullet"/>
      </w:pPr>
      <w:r>
        <w:t>10.5 Education, Training, and Continuing Competency</w:t>
      </w:r>
    </w:p>
    <w:p>
      <w:pPr>
        <w:pStyle w:val="Heading2"/>
      </w:pPr>
      <w:r>
        <w:t>SECTION XI — COMMUNICATION, DOCUMENTATION &amp; RECORDS</w:t>
      </w:r>
    </w:p>
    <w:p>
      <w:pPr>
        <w:pStyle w:val="ListBullet"/>
      </w:pPr>
      <w:r>
        <w:t>11.1 Documentation Standards</w:t>
      </w:r>
    </w:p>
    <w:p>
      <w:pPr>
        <w:pStyle w:val="ListBullet"/>
      </w:pPr>
      <w:r>
        <w:t>11.2 Communication with Patients &amp; Families</w:t>
      </w:r>
    </w:p>
    <w:p>
      <w:pPr>
        <w:pStyle w:val="ListBullet"/>
      </w:pPr>
      <w:r>
        <w:t>11.3 Communication with Referring Providers</w:t>
      </w:r>
    </w:p>
    <w:p>
      <w:pPr>
        <w:pStyle w:val="ListBullet"/>
      </w:pPr>
      <w:r>
        <w:t>11.4 Medical Record Retention &amp; Privacy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A593A0659CC74183A8E385D4D3CF0B" ma:contentTypeVersion="11" ma:contentTypeDescription="Create a new document." ma:contentTypeScope="" ma:versionID="40b23257d81c6b7d513ecf8cefabd327">
  <xsd:schema xmlns:xsd="http://www.w3.org/2001/XMLSchema" xmlns:xs="http://www.w3.org/2001/XMLSchema" xmlns:p="http://schemas.microsoft.com/office/2006/metadata/properties" xmlns:ns2="15e18af5-27f0-4bd9-9c41-53e783ad04a6" xmlns:ns3="e8e2b594-70dd-4f98-adf6-9a78efdbf332" targetNamespace="http://schemas.microsoft.com/office/2006/metadata/properties" ma:root="true" ma:fieldsID="bf9d03d0e3c41ebda7246f3849c90158" ns2:_="" ns3:_="">
    <xsd:import namespace="15e18af5-27f0-4bd9-9c41-53e783ad04a6"/>
    <xsd:import namespace="e8e2b594-70dd-4f98-adf6-9a78efdbf3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18af5-27f0-4bd9-9c41-53e783ad04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8d69e43-d259-4c8d-a12b-34379d0987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e2b594-70dd-4f98-adf6-9a78efdbf33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e66927-8c0d-4112-8f35-494968da6c8f}" ma:internalName="TaxCatchAll" ma:showField="CatchAllData" ma:web="e8e2b594-70dd-4f98-adf6-9a78efdbf3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e2b594-70dd-4f98-adf6-9a78efdbf332" xsi:nil="true"/>
    <lcf76f155ced4ddcb4097134ff3c332f xmlns="15e18af5-27f0-4bd9-9c41-53e783ad04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1BEC92-3063-41A4-81C0-14E9A03A466E}"/>
</file>

<file path=customXml/itemProps3.xml><?xml version="1.0" encoding="utf-8"?>
<ds:datastoreItem xmlns:ds="http://schemas.openxmlformats.org/officeDocument/2006/customXml" ds:itemID="{DC67AEAC-E1C8-47F2-847F-144CB031E8D6}"/>
</file>

<file path=customXml/itemProps4.xml><?xml version="1.0" encoding="utf-8"?>
<ds:datastoreItem xmlns:ds="http://schemas.openxmlformats.org/officeDocument/2006/customXml" ds:itemID="{57177AE0-4BB0-4F3A-A3F1-4B0E48B57AB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0x01010046A593A0659CC74183A8E385D4D3CF0B</vt:lpwstr>
  </property>
</Properties>
</file>