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Carilion Clinic Kidney Transplant Program</w:t>
        <w:br/>
        <w:t>Program Governance Charter</w:t>
      </w:r>
    </w:p>
    <w:p/>
    <w:p>
      <w:r>
        <w:t>Policy Number: KT-GOV-001</w:t>
      </w:r>
    </w:p>
    <w:p>
      <w:r>
        <w:t>Effective Date: __________</w:t>
      </w:r>
    </w:p>
    <w:p>
      <w:r>
        <w:t>Review Cycle: Annual</w:t>
      </w:r>
    </w:p>
    <w:p>
      <w:r>
        <w:t>Applies To: Kidney Transplant Program (Deceased and Living Donor)</w:t>
      </w:r>
    </w:p>
    <w:p/>
    <w:p>
      <w:r>
        <w:t>1. PURPOSE</w:t>
      </w:r>
    </w:p>
    <w:p>
      <w:r>
        <w:t>The purpose of this Program Governance Charter is to define the organizational structure, leadership authority, accountability framework, and decision-making processes governing the Carilion Clinic Kidney Transplant Program. This charter ensures compliance with Centers for Medicare &amp; Medicaid Services (CMS), Organ Procurement and Transplantation Network (OPTN), United Network for Organ Sharing (UNOS), and Joint Commission standards.</w:t>
      </w:r>
    </w:p>
    <w:p/>
    <w:p>
      <w:r>
        <w:t>2. SCOPE</w:t>
      </w:r>
    </w:p>
    <w:p>
      <w:r>
        <w:t>This policy applies to all personnel and activities associated with kidney transplantation at Carilion Clinic.</w:t>
      </w:r>
    </w:p>
    <w:p/>
    <w:p>
      <w:r>
        <w:t>3. DEFINITIONS</w:t>
      </w:r>
    </w:p>
    <w:p>
      <w:r>
        <w:t>Transplant Program: The organized entity responsible for kidney transplantation.</w:t>
      </w:r>
    </w:p>
    <w:p>
      <w:r>
        <w:t>Medical Director: Physician with ultimate clinical accountability.</w:t>
      </w:r>
    </w:p>
    <w:p>
      <w:r>
        <w:t>Surgical Director: Transplant surgeon overseeing operative standards.</w:t>
      </w:r>
    </w:p>
    <w:p>
      <w:r>
        <w:t>Transplant Nephrology Director: Physician overseeing medical and longitudinal care.</w:t>
      </w:r>
    </w:p>
    <w:p>
      <w:r>
        <w:t>Selection Committee: Multidisciplinary body determining candidate listing decisions.</w:t>
      </w:r>
    </w:p>
    <w:p/>
    <w:p>
      <w:r>
        <w:t>4. POLICY STATEMENT</w:t>
      </w:r>
    </w:p>
    <w:p>
      <w:r>
        <w:t>The Kidney Transplant Program shall operate under a clearly defined governance structure ensuring accountability, ethical integrity, transparency, and regulatory compliance.</w:t>
      </w:r>
    </w:p>
    <w:p/>
    <w:p>
      <w:r>
        <w:t>5. GOVERNANCE STRUCTURE</w:t>
      </w:r>
    </w:p>
    <w:p>
      <w:r>
        <w:t>The program shall be led by a Program Medical Director, Program Surgical Director, and Transplant Nephrology Director.</w:t>
      </w:r>
    </w:p>
    <w:p/>
    <w:p>
      <w:r>
        <w:t>6. MULTIDISCIPLINARY TRANSPLANT SELECTION COMMITTEE</w:t>
      </w:r>
    </w:p>
    <w:p>
      <w:r>
        <w:t>The committee shall review all candidates and determine listing decisions.</w:t>
      </w:r>
    </w:p>
    <w:p/>
    <w:p>
      <w:r>
        <w:t>7. DECISION-MAKING &amp; ESCALATION</w:t>
      </w:r>
    </w:p>
    <w:p>
      <w:r>
        <w:t>Clinical, ethical, and operational concerns follow defined escalation pathways.</w:t>
      </w:r>
    </w:p>
    <w:p/>
    <w:p>
      <w:r>
        <w:t>8. QUALITY OVERSIGHT</w:t>
      </w:r>
    </w:p>
    <w:p>
      <w:r>
        <w:t>The program shall maintain an active Quality Assurance / Quality Improvement program.</w:t>
      </w:r>
    </w:p>
    <w:p/>
    <w:p>
      <w:r>
        <w:t>9. DOCUMENTATION REQUIREMENTS</w:t>
      </w:r>
    </w:p>
    <w:p>
      <w:r>
        <w:t>Leadership roles, decisions, and committee records shall be maintained.</w:t>
      </w:r>
    </w:p>
    <w:p/>
    <w:p>
      <w:r>
        <w:t>10. REGULATORY REFERENCES</w:t>
      </w:r>
    </w:p>
    <w:p>
      <w:r>
        <w:t>CMS Conditions of Participation</w:t>
      </w:r>
    </w:p>
    <w:p>
      <w:r>
        <w:t>OPTN Policies</w:t>
      </w:r>
    </w:p>
    <w:p>
      <w:r>
        <w:t>UNOS Bylaws</w:t>
      </w:r>
    </w:p>
    <w:p>
      <w:r>
        <w:t>Joint Commission Standards</w:t>
      </w:r>
    </w:p>
    <w:p/>
    <w:p>
      <w:r>
        <w:t>11. APPROVAL &amp; SIGNATURES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78D4FC-B99B-473F-B1FA-E32FDD8E6876}"/>
</file>

<file path=customXml/itemProps3.xml><?xml version="1.0" encoding="utf-8"?>
<ds:datastoreItem xmlns:ds="http://schemas.openxmlformats.org/officeDocument/2006/customXml" ds:itemID="{84A4699D-193C-4C88-946D-966EAB48ACB0}"/>
</file>

<file path=customXml/itemProps4.xml><?xml version="1.0" encoding="utf-8"?>
<ds:datastoreItem xmlns:ds="http://schemas.openxmlformats.org/officeDocument/2006/customXml" ds:itemID="{0BEECFFC-AE67-4017-9F9C-9B456EC139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