
<file path=[Content_Types].xml><?xml version="1.0" encoding="UTF-8" standalone="y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Carilion Clinic Kidney Transplant Program</w:t>
        <w:br/>
        <w:t>1.4 Ethics Consultation &amp; Escalation Pathway</w:t>
      </w:r>
    </w:p>
    <w:p/>
    <w:p>
      <w:r>
        <w:t>Policy Number: KT-GOV-004</w:t>
      </w:r>
    </w:p>
    <w:p>
      <w:r>
        <w:t>Effective Date: __________</w:t>
      </w:r>
    </w:p>
    <w:p>
      <w:r>
        <w:t>Review Cycle: Annual</w:t>
      </w:r>
    </w:p>
    <w:p>
      <w:r>
        <w:t>Applies To: Kidney Transplant Program (Deceased and Living Donor)</w:t>
      </w:r>
    </w:p>
    <w:p/>
    <w:p>
      <w:r>
        <w:t>1. PURPOSE</w:t>
      </w:r>
    </w:p>
    <w:p>
      <w:r>
        <w:t>To establish a clear, accessible, and non-punitive pathway for ethics consultation and escalation within the Carilion Clinic Kidney Transplant Program, ensuring that ethical concerns are identified early, addressed appropriately, and resolved in a manner consistent with institutional values, regulatory requirements, and patient-centered care.</w:t>
      </w:r>
    </w:p>
    <w:p/>
    <w:p>
      <w:r>
        <w:t>2. SCOPE</w:t>
      </w:r>
    </w:p>
    <w:p>
      <w:r>
        <w:t>This policy applies to all transplant program personnel, including transplant surgeons, transplant nephrologists, attending physicians, advanced practice providers, transplant coordinators, nurses, social workers, pharmacists, administrators, and trainees involved in kidney donation or transplantation.</w:t>
      </w:r>
    </w:p>
    <w:p/>
    <w:p>
      <w:r>
        <w:t>3. POLICY STATEMENT</w:t>
      </w:r>
    </w:p>
    <w:p>
      <w:r>
        <w:t>Carilion Clinic is committed to fostering an environment in which ethical concerns may be raised openly and addressed promptly without fear of retaliation. Ethics consultation is viewed as a supportive, educational, and preventive resource rather than a punitive mechanism.</w:t>
      </w:r>
    </w:p>
    <w:p/>
    <w:p>
      <w:r>
        <w:t>Ethics consultation may be requested whenever uncertainty, disagreement, or concern arises regarding ethical aspects of donor care, recipient care, allocation, consent, conflicts of interest, or adherence to ethical separation principles.</w:t>
      </w:r>
    </w:p>
    <w:p/>
    <w:p>
      <w:r>
        <w:t>4. TRIGGERS FOR ETHICS CONSULTATION</w:t>
      </w:r>
    </w:p>
    <w:p>
      <w:r>
        <w:t>Ethics consultation should be considered when, but not limited to, the following situations arise:</w:t>
      </w:r>
    </w:p>
    <w:p>
      <w:r>
        <w:t>- Uncertainty regarding ethical separation between donor and recipient roles</w:t>
      </w:r>
    </w:p>
    <w:p>
      <w:r>
        <w:t>- Disagreement among team members regarding transplant candidacy or organ acceptance on ethical grounds</w:t>
      </w:r>
    </w:p>
    <w:p>
      <w:r>
        <w:t>- Concerns related to informed consent, decisional capacity, or voluntariness</w:t>
      </w:r>
    </w:p>
    <w:p>
      <w:r>
        <w:t>- Potential or perceived conflicts of interest</w:t>
      </w:r>
    </w:p>
    <w:p>
      <w:r>
        <w:t>- Disputes involving donor family wishes or recipient advocacy</w:t>
      </w:r>
    </w:p>
    <w:p>
      <w:r>
        <w:t>- Concerns raised by patients, families, or staff regarding ethical conduct</w:t>
      </w:r>
    </w:p>
    <w:p>
      <w:r>
        <w:t>- Situations in which regulatory or ethical standards may be in tension with clinical judgment</w:t>
      </w:r>
    </w:p>
    <w:p/>
    <w:p>
      <w:r>
        <w:t>5. REQUESTING ETHICS CONSULTATION</w:t>
      </w:r>
    </w:p>
    <w:p>
      <w:r>
        <w:t>- Any member of the transplant program may request an ethics consultation</w:t>
      </w:r>
    </w:p>
    <w:p>
      <w:r>
        <w:t>- Requests may be made directly to the institutional Ethics Committee or through established hospital ethics consultation mechanisms</w:t>
      </w:r>
    </w:p>
    <w:p>
      <w:r>
        <w:t>- Requests may be made anonymously in accordance with institutional policy</w:t>
      </w:r>
    </w:p>
    <w:p>
      <w:r>
        <w:t>- Urgent ethical concerns may be escalated immediately through on-call ethics resources</w:t>
      </w:r>
    </w:p>
    <w:p/>
    <w:p>
      <w:r>
        <w:t>6. ESCALATION PATHWAY</w:t>
      </w:r>
    </w:p>
    <w:p/>
    <w:p>
      <w:r>
        <w:t>6.1 Initial Escalation</w:t>
      </w:r>
    </w:p>
    <w:p>
      <w:r>
        <w:t>Ethical concerns should first be discussed with the immediate supervising clinician and/or the Program Surgical Director, Program Medical Director, or Transplant Nephrology Director.</w:t>
      </w:r>
    </w:p>
    <w:p/>
    <w:p>
      <w:r>
        <w:t>6.2 Formal Ethics Consultation</w:t>
      </w:r>
    </w:p>
    <w:p>
      <w:r>
        <w:t>If concerns remain unresolved or require independent review:</w:t>
      </w:r>
    </w:p>
    <w:p>
      <w:r>
        <w:t>- A formal ethics consultation is initiated through institutional processes</w:t>
      </w:r>
    </w:p>
    <w:p>
      <w:r>
        <w:t>- Relevant clinical facts are presented objectively and without attribution of blame</w:t>
      </w:r>
    </w:p>
    <w:p>
      <w:r>
        <w:t>- Ethics recommendations are advisory in nature and documented in accordance with institutional policy</w:t>
      </w:r>
    </w:p>
    <w:p/>
    <w:p>
      <w:r>
        <w:t>6.3 Leadership &amp; Institutional Escalation</w:t>
      </w:r>
    </w:p>
    <w:p>
      <w:r>
        <w:t>In cases involving significant ethical risk, regulatory implications, or potential institutional impact, the issue may be escalated to hospital executive leadership, risk management, or compliance leadership.</w:t>
      </w:r>
    </w:p>
    <w:p/>
    <w:p>
      <w:r>
        <w:t>7. MORBIDITY &amp; MORTALITY AND COMPLICATION CONFERENCE APPLICABILITY</w:t>
      </w:r>
    </w:p>
    <w:p>
      <w:r>
        <w:t>Ethical issues, dilemmas, or system-level concerns may be identified during structured peer-review forums, including:</w:t>
      </w:r>
    </w:p>
    <w:p>
      <w:r>
        <w:t>- Kidney Transplant Section complication conferences</w:t>
      </w:r>
    </w:p>
    <w:p>
      <w:r>
        <w:t>- Department of Surgery Morbidity and Mortality (M&amp;M) conferences</w:t>
      </w:r>
    </w:p>
    <w:p/>
    <w:p>
      <w:r>
        <w:t>These forums are recognized as formal peer-review activities conducted for quality improvement, education, and patient safety, and are protected under applicable laws of the Commonwealth of Virginia governing peer-review and quality assurance activities.</w:t>
      </w:r>
    </w:p>
    <w:p/>
    <w:p>
      <w:r>
        <w:t>Identification of ethical issues during peer-review does not, by itself, constitute wrongdoing or trigger disciplinary action.</w:t>
      </w:r>
    </w:p>
    <w:p/>
    <w:p>
      <w:r>
        <w:t>When appropriate, issues identified during peer-review may prompt separate actions including ethics consultation, quality improvement initiatives, policy review, or education. Documentation of these actions shall occur outside of the peer-review record.</w:t>
      </w:r>
    </w:p>
    <w:p/>
    <w:p>
      <w:r>
        <w:t>8. DOCUMENTATION</w:t>
      </w:r>
    </w:p>
    <w:p>
      <w:r>
        <w:t>Ethics consultations and recommendations are documented in accordance with institutional policy and maintained in ethics or medical records as appropriate.</w:t>
      </w:r>
    </w:p>
    <w:p/>
    <w:p>
      <w:r>
        <w:t>9. NON-RETALIATION</w:t>
      </w:r>
    </w:p>
    <w:p>
      <w:r>
        <w:t>No individual shall be subject to retaliation for raising an ethical concern in good faith, requesting an ethics consultation, or identifying ethical issues during peer-review activities.</w:t>
      </w:r>
    </w:p>
    <w:p/>
    <w:p>
      <w:r>
        <w:t>10. QUALITY OVERSIGHT &amp; REVIEW</w:t>
      </w:r>
    </w:p>
    <w:p>
      <w:r>
        <w:t>Ethical concerns and consultation trends are reviewed as part of program quality oversight and may prompt process improvement.</w:t>
      </w:r>
    </w:p>
    <w:p/>
    <w:p>
      <w:r>
        <w:t>11. REGULATORY REFERENCES</w:t>
      </w:r>
    </w:p>
    <w:p>
      <w:r>
        <w:t>CMS Conditions of Participation</w:t>
      </w:r>
    </w:p>
    <w:p>
      <w:r>
        <w:t>OPTN Policies</w:t>
      </w:r>
    </w:p>
    <w:p>
      <w:r>
        <w:t>UNOS Bylaws</w:t>
      </w:r>
    </w:p>
    <w:p>
      <w:r>
        <w:t>Joint Commission Standards</w:t>
      </w:r>
    </w:p>
    <w:p>
      <w:r>
        <w:t>Applicable laws of the Commonwealth of Virginia</w:t>
      </w:r>
    </w:p>
    <w:p/>
    <w:p>
      <w:r>
        <w:t>12. APPROVAL &amp; SIGNATURES</w:t>
      </w:r>
    </w:p>
    <w:p/>
    <w:p>
      <w:r>
        <w:br/>
        <w:t>Program Medical Director:</w:t>
        <w:br/>
        <w:t>Name: __________________________</w:t>
        <w:br/>
        <w:t>Signature: ______________________</w:t>
        <w:br/>
        <w:t>Date: ___________________________</w:t>
      </w:r>
    </w:p>
    <w:p>
      <w:r>
        <w:br/>
        <w:t>Program Surgical Director:</w:t>
        <w:br/>
        <w:t>Name: __________________________</w:t>
        <w:br/>
        <w:t>Signature: ______________________</w:t>
        <w:br/>
        <w:t>Date: ___________________________</w:t>
      </w:r>
    </w:p>
    <w:p>
      <w:r>
        <w:br/>
        <w:t>Transplant Nephrology Director:</w:t>
        <w:br/>
        <w:t>Name: __________________________</w:t>
        <w:br/>
        <w:t>Signature: ______________________</w:t>
        <w:br/>
        <w:t>Date: ___________________________</w:t>
      </w:r>
    </w:p>
    <w:p>
      <w:r>
        <w:br/>
        <w:t>Hospital Executive Sponsor:</w:t>
        <w:br/>
        <w:t>Name: __________________________</w:t>
        <w:br/>
        <w:t>Signature: ______________________</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4A956E0-DB1E-4C57-B6FF-D09A44812A3B}"/>
</file>

<file path=customXml/itemProps3.xml><?xml version="1.0" encoding="utf-8"?>
<ds:datastoreItem xmlns:ds="http://schemas.openxmlformats.org/officeDocument/2006/customXml" ds:itemID="{51E62A1A-F012-4F57-AFD3-F4B74015F1E8}"/>
</file>

<file path=customXml/itemProps4.xml><?xml version="1.0" encoding="utf-8"?>
<ds:datastoreItem xmlns:ds="http://schemas.openxmlformats.org/officeDocument/2006/customXml" ds:itemID="{8B2DCEBC-E98E-489B-A517-BB2D5B4617F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