
<file path=[Content_Types].xml><?xml version="1.0" encoding="UTF-8" standalone="y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B0F6" w14:textId="77777777" w:rsidR="00B254B1" w:rsidRDefault="00000000">
      <w:pPr>
        <w:pStyle w:val="Title"/>
      </w:pPr>
      <w:r>
        <w:t>Carilion Clinic Kidney Transplant Program</w:t>
      </w:r>
    </w:p>
    <w:p w14:paraId="336DAAA7" w14:textId="77777777" w:rsidR="00B254B1" w:rsidRDefault="00000000">
      <w:pPr>
        <w:pStyle w:val="Heading1"/>
      </w:pPr>
      <w:r>
        <w:t>2.3 Ancillary and Accessory Services Supporting the Kidney Transplant Program</w:t>
      </w:r>
    </w:p>
    <w:p w14:paraId="1138A7FB" w14:textId="77777777" w:rsidR="00B254B1" w:rsidRDefault="00000000">
      <w:r>
        <w:t>Policy Number: KT-STR-003</w:t>
      </w:r>
    </w:p>
    <w:p w14:paraId="4590FD75" w14:textId="77777777" w:rsidR="00B254B1" w:rsidRDefault="00000000">
      <w:r>
        <w:t>Effective Date: __________</w:t>
      </w:r>
    </w:p>
    <w:p w14:paraId="665850F6" w14:textId="77777777" w:rsidR="00B254B1" w:rsidRDefault="00000000">
      <w:r>
        <w:t>Review Cycle: Annual</w:t>
      </w:r>
    </w:p>
    <w:p w14:paraId="6526D6F0" w14:textId="77777777" w:rsidR="00B254B1" w:rsidRDefault="00000000">
      <w:r>
        <w:t>Applies To: Kidney Transplant Program (Deceased Donor and Living Donor)</w:t>
      </w:r>
    </w:p>
    <w:p w14:paraId="1E10B2C5" w14:textId="77777777" w:rsidR="00B254B1" w:rsidRDefault="00000000">
      <w:pPr>
        <w:pStyle w:val="Heading2"/>
      </w:pPr>
      <w:r>
        <w:t>1. PURPOSE</w:t>
      </w:r>
    </w:p>
    <w:p w14:paraId="01A6F388" w14:textId="77777777" w:rsidR="00B254B1" w:rsidRDefault="00000000">
      <w:r>
        <w:t>To define the full scope of ancillary and accessory clinical, diagnostic, and operational services required to support safe, effective, ethical, and compliant kidney transplant care at Carilion Clinic, consistent with Organ Procurement and Transplantation Network (OPTN) / United Network for Organ Sharing (UNOS) requirements and Centers for Medicare &amp; Medicaid Services (CMS) Conditions of Participation.</w:t>
      </w:r>
    </w:p>
    <w:p w14:paraId="7CD95236" w14:textId="77777777" w:rsidR="00B254B1" w:rsidRDefault="00000000">
      <w:pPr>
        <w:pStyle w:val="Heading2"/>
      </w:pPr>
      <w:r>
        <w:t>2. SCOPE</w:t>
      </w:r>
    </w:p>
    <w:p w14:paraId="3833EF75" w14:textId="77777777" w:rsidR="00B254B1" w:rsidRDefault="00000000">
      <w:r>
        <w:t>This policy applies to all hospital departments and service lines that provide inpatient and outpatient support to the Kidney Transplant Program but are not designated as core transplant team members under OPTN/UNOS Bylaws Appendix D.</w:t>
      </w:r>
    </w:p>
    <w:p w14:paraId="3B763B0A" w14:textId="77777777" w:rsidR="00B254B1" w:rsidRDefault="00000000">
      <w:pPr>
        <w:pStyle w:val="Heading2"/>
      </w:pPr>
      <w:r>
        <w:t>3. POLICY STATEMENT</w:t>
      </w:r>
    </w:p>
    <w:p w14:paraId="41C3B8D0" w14:textId="77777777" w:rsidR="00B254B1" w:rsidRDefault="00000000">
      <w:r>
        <w:t>The Kidney Transplant Program maintains access to comprehensive ancillary and accessory services sufficient to support the entire transplant continuum, including referral, evaluation, listing, transplantation, perioperative care, post-transplant management, emergency care, and long-term follow-up.</w:t>
      </w:r>
    </w:p>
    <w:p w14:paraId="0C95D6A9" w14:textId="77777777" w:rsidR="00B254B1" w:rsidRDefault="00000000">
      <w:r>
        <w:t>Ancillary and accessory services support transplant care delivery but do not participate in transplant candidate selection, listing, or organ acceptance decisions unless explicitly designated by policy.</w:t>
      </w:r>
    </w:p>
    <w:p w14:paraId="6B58D5BA" w14:textId="77777777" w:rsidR="00B254B1" w:rsidRDefault="00000000">
      <w:pPr>
        <w:pStyle w:val="Heading2"/>
      </w:pPr>
      <w:r>
        <w:t>4. REQUIRED CLINICAL ANCILLARY SERVICES</w:t>
      </w:r>
    </w:p>
    <w:p w14:paraId="4A0C3396" w14:textId="77777777" w:rsidR="00B254B1" w:rsidRDefault="00000000">
      <w:pPr>
        <w:pStyle w:val="Heading3"/>
      </w:pPr>
      <w:r>
        <w:t>4.1 Dialysis Services</w:t>
      </w:r>
    </w:p>
    <w:p w14:paraId="5123D470" w14:textId="77777777" w:rsidR="00B254B1" w:rsidRDefault="00000000">
      <w:pPr>
        <w:pStyle w:val="ListBullet"/>
      </w:pPr>
      <w:r>
        <w:t>Inpatient dialysis services</w:t>
      </w:r>
    </w:p>
    <w:p w14:paraId="6699A972" w14:textId="77777777" w:rsidR="00B254B1" w:rsidRDefault="00000000">
      <w:pPr>
        <w:pStyle w:val="ListBullet"/>
      </w:pPr>
      <w:r>
        <w:t>Outpatient dialysis coordination</w:t>
      </w:r>
    </w:p>
    <w:p w14:paraId="300675AC" w14:textId="77777777" w:rsidR="00B254B1" w:rsidRDefault="00000000">
      <w:pPr>
        <w:pStyle w:val="ListBullet"/>
      </w:pPr>
      <w:r>
        <w:t>Support for pre-transplant, perioperative, and post-transplant dialysis needs</w:t>
      </w:r>
    </w:p>
    <w:p w14:paraId="02DD199C" w14:textId="77777777" w:rsidR="00B254B1" w:rsidRDefault="00000000">
      <w:pPr>
        <w:pStyle w:val="Heading3"/>
      </w:pPr>
      <w:r>
        <w:lastRenderedPageBreak/>
        <w:t>4.2 Critical Care Services</w:t>
      </w:r>
    </w:p>
    <w:p w14:paraId="772C2C24" w14:textId="77777777" w:rsidR="00B254B1" w:rsidRDefault="00000000">
      <w:pPr>
        <w:pStyle w:val="ListBullet"/>
      </w:pPr>
      <w:r>
        <w:t>Intensive Care Unit (ICU) capability</w:t>
      </w:r>
    </w:p>
    <w:p w14:paraId="74A6634E" w14:textId="77777777" w:rsidR="00B254B1" w:rsidRDefault="00000000">
      <w:pPr>
        <w:pStyle w:val="ListBullet"/>
      </w:pPr>
      <w:r>
        <w:t>Management of perioperative and post-operative transplant recipients</w:t>
      </w:r>
    </w:p>
    <w:p w14:paraId="2E3C8C6A" w14:textId="77777777" w:rsidR="00B254B1" w:rsidRDefault="00000000">
      <w:pPr>
        <w:pStyle w:val="Heading3"/>
      </w:pPr>
      <w:r>
        <w:t>4.3 Anesthesiology</w:t>
      </w:r>
    </w:p>
    <w:p w14:paraId="63E399B2" w14:textId="77777777" w:rsidR="00B254B1" w:rsidRDefault="00000000">
      <w:pPr>
        <w:pStyle w:val="ListBullet"/>
      </w:pPr>
      <w:r>
        <w:t>Anesthesia services experienced in transplant surgery</w:t>
      </w:r>
    </w:p>
    <w:p w14:paraId="2D8C1DAD" w14:textId="77777777" w:rsidR="00B254B1" w:rsidRDefault="00000000">
      <w:pPr>
        <w:pStyle w:val="ListBullet"/>
      </w:pPr>
      <w:r>
        <w:t>Coverage for deceased donor kidney transplantation and living donor nephrectomy</w:t>
      </w:r>
    </w:p>
    <w:p w14:paraId="735B51C8" w14:textId="77777777" w:rsidR="00B254B1" w:rsidRDefault="00000000">
      <w:pPr>
        <w:pStyle w:val="Heading3"/>
      </w:pPr>
      <w:r>
        <w:t>4.4 Inpatient Medicine / Hospitalist Services</w:t>
      </w:r>
    </w:p>
    <w:p w14:paraId="115D60FE" w14:textId="77777777" w:rsidR="00B254B1" w:rsidRDefault="00000000">
      <w:pPr>
        <w:pStyle w:val="ListBullet"/>
      </w:pPr>
      <w:r>
        <w:t>Medical co-management of transplant recipients</w:t>
      </w:r>
    </w:p>
    <w:p w14:paraId="465EA326" w14:textId="77777777" w:rsidR="00B254B1" w:rsidRDefault="00000000">
      <w:pPr>
        <w:pStyle w:val="ListBullet"/>
      </w:pPr>
      <w:r>
        <w:t>Coordination of complex inpatient care</w:t>
      </w:r>
    </w:p>
    <w:p w14:paraId="37A5CF75" w14:textId="77777777" w:rsidR="00B254B1" w:rsidRDefault="00000000">
      <w:pPr>
        <w:pStyle w:val="Heading3"/>
      </w:pPr>
      <w:r>
        <w:t>4.5 Vascular Surgery</w:t>
      </w:r>
    </w:p>
    <w:p w14:paraId="6F148F7F" w14:textId="77777777" w:rsidR="00B254B1" w:rsidRDefault="00000000">
      <w:pPr>
        <w:pStyle w:val="ListBullet"/>
      </w:pPr>
      <w:r>
        <w:t>Evaluation and management of vascular access</w:t>
      </w:r>
    </w:p>
    <w:p w14:paraId="02D1ECBB" w14:textId="28A7694B" w:rsidR="00B254B1" w:rsidRDefault="00FA3992">
      <w:pPr>
        <w:pStyle w:val="ListBullet"/>
      </w:pPr>
      <w:r>
        <w:t>Final evaluation of Vascular Ultrasound</w:t>
      </w:r>
    </w:p>
    <w:p w14:paraId="4A73837F" w14:textId="77777777" w:rsidR="00B254B1" w:rsidRDefault="00000000">
      <w:pPr>
        <w:pStyle w:val="Heading3"/>
      </w:pPr>
      <w:r>
        <w:t>4.6 Cardiology</w:t>
      </w:r>
    </w:p>
    <w:p w14:paraId="4C887681" w14:textId="77777777" w:rsidR="00B254B1" w:rsidRDefault="00000000">
      <w:pPr>
        <w:pStyle w:val="ListBullet"/>
      </w:pPr>
      <w:r>
        <w:t>Cardiovascular risk stratification</w:t>
      </w:r>
    </w:p>
    <w:p w14:paraId="2A371BC4" w14:textId="77777777" w:rsidR="00B254B1" w:rsidRDefault="00000000">
      <w:pPr>
        <w:pStyle w:val="ListBullet"/>
      </w:pPr>
      <w:r>
        <w:t>Diagnostic testing and perioperative consultation</w:t>
      </w:r>
    </w:p>
    <w:p w14:paraId="1F30ED12" w14:textId="77777777" w:rsidR="00B254B1" w:rsidRDefault="00000000">
      <w:pPr>
        <w:pStyle w:val="Heading3"/>
      </w:pPr>
      <w:r>
        <w:t>4.7 Pulmonology</w:t>
      </w:r>
    </w:p>
    <w:p w14:paraId="33038E3A" w14:textId="77777777" w:rsidR="00B254B1" w:rsidRDefault="00000000">
      <w:pPr>
        <w:pStyle w:val="ListBullet"/>
      </w:pPr>
      <w:r>
        <w:t>Pulmonary evaluation and optimization</w:t>
      </w:r>
    </w:p>
    <w:p w14:paraId="2A7413E0" w14:textId="77777777" w:rsidR="00B254B1" w:rsidRDefault="00000000">
      <w:pPr>
        <w:pStyle w:val="ListBullet"/>
      </w:pPr>
      <w:r>
        <w:t>Perioperative respiratory management</w:t>
      </w:r>
    </w:p>
    <w:p w14:paraId="422B32D2" w14:textId="77777777" w:rsidR="00B254B1" w:rsidRDefault="00000000">
      <w:pPr>
        <w:pStyle w:val="Heading3"/>
      </w:pPr>
      <w:r>
        <w:t>4.8 Infectious Disease</w:t>
      </w:r>
    </w:p>
    <w:p w14:paraId="0E496FD8" w14:textId="77777777" w:rsidR="00B254B1" w:rsidRDefault="00000000">
      <w:pPr>
        <w:pStyle w:val="ListBullet"/>
      </w:pPr>
      <w:r>
        <w:t>Pre-transplant infectious risk assessment</w:t>
      </w:r>
    </w:p>
    <w:p w14:paraId="325464DF" w14:textId="77777777" w:rsidR="00B254B1" w:rsidRDefault="00000000">
      <w:pPr>
        <w:pStyle w:val="ListBullet"/>
      </w:pPr>
      <w:r>
        <w:t>Management of donor-derived infections</w:t>
      </w:r>
    </w:p>
    <w:p w14:paraId="6AAE89B7" w14:textId="77777777" w:rsidR="00B254B1" w:rsidRDefault="00000000">
      <w:pPr>
        <w:pStyle w:val="ListBullet"/>
      </w:pPr>
      <w:r>
        <w:t>Post-transplant infection management</w:t>
      </w:r>
    </w:p>
    <w:p w14:paraId="44E60EFE" w14:textId="77777777" w:rsidR="00B254B1" w:rsidRDefault="00000000">
      <w:pPr>
        <w:pStyle w:val="Heading3"/>
      </w:pPr>
      <w:r>
        <w:t>4.9 Gastroenterology</w:t>
      </w:r>
    </w:p>
    <w:p w14:paraId="48D9F420" w14:textId="77777777" w:rsidR="00B254B1" w:rsidRDefault="00000000">
      <w:pPr>
        <w:pStyle w:val="ListBullet"/>
      </w:pPr>
      <w:r>
        <w:t>Endoscopic evaluation and management</w:t>
      </w:r>
    </w:p>
    <w:p w14:paraId="6C773EE6" w14:textId="77777777" w:rsidR="00B254B1" w:rsidRDefault="00000000">
      <w:pPr>
        <w:pStyle w:val="ListBullet"/>
      </w:pPr>
      <w:r>
        <w:t>Gastrointestinal and liver disease assessment during transplant evaluation</w:t>
      </w:r>
    </w:p>
    <w:p w14:paraId="35B4DE23" w14:textId="77777777" w:rsidR="00B254B1" w:rsidRDefault="00000000">
      <w:pPr>
        <w:pStyle w:val="Heading3"/>
      </w:pPr>
      <w:r>
        <w:t>4.10 Urology</w:t>
      </w:r>
    </w:p>
    <w:p w14:paraId="76BAC3CC" w14:textId="77777777" w:rsidR="00B254B1" w:rsidRDefault="00000000">
      <w:pPr>
        <w:pStyle w:val="ListBullet"/>
      </w:pPr>
      <w:r>
        <w:t>Evaluation and management of urologic conditions relevant to transplantation</w:t>
      </w:r>
    </w:p>
    <w:p w14:paraId="75F65634" w14:textId="77777777" w:rsidR="00B254B1" w:rsidRDefault="00000000">
      <w:pPr>
        <w:pStyle w:val="ListBullet"/>
      </w:pPr>
      <w:r>
        <w:t>Management of post-transplant urologic complications</w:t>
      </w:r>
    </w:p>
    <w:p w14:paraId="0655F4B7" w14:textId="77777777" w:rsidR="00B254B1" w:rsidRDefault="00000000">
      <w:pPr>
        <w:pStyle w:val="Heading3"/>
      </w:pPr>
      <w:r>
        <w:t>4.11 Psychiatry</w:t>
      </w:r>
    </w:p>
    <w:p w14:paraId="2A99D2A5" w14:textId="77777777" w:rsidR="00B254B1" w:rsidRDefault="00000000">
      <w:pPr>
        <w:pStyle w:val="ListBullet"/>
      </w:pPr>
      <w:r>
        <w:t>Psychiatric evaluation as part of transplant candidacy assessment</w:t>
      </w:r>
    </w:p>
    <w:p w14:paraId="6A32C653" w14:textId="77777777" w:rsidR="00B254B1" w:rsidRDefault="00000000">
      <w:pPr>
        <w:pStyle w:val="ListBullet"/>
      </w:pPr>
      <w:r>
        <w:t>Ongoing mental health treatment impacting adherence and outcomes</w:t>
      </w:r>
    </w:p>
    <w:p w14:paraId="38EF5BCF" w14:textId="77777777" w:rsidR="00B254B1" w:rsidRDefault="00000000">
      <w:pPr>
        <w:pStyle w:val="Heading3"/>
      </w:pPr>
      <w:r>
        <w:t>4.12 Pediatrics</w:t>
      </w:r>
    </w:p>
    <w:p w14:paraId="51A1DF20" w14:textId="77777777" w:rsidR="00B254B1" w:rsidRDefault="00000000">
      <w:pPr>
        <w:pStyle w:val="ListBullet"/>
      </w:pPr>
      <w:r>
        <w:t>Pediatric consultation when applicable (e.g., adolescent candidates or donors)</w:t>
      </w:r>
    </w:p>
    <w:p w14:paraId="49F9C10A" w14:textId="77777777" w:rsidR="00B254B1" w:rsidRDefault="00000000">
      <w:pPr>
        <w:pStyle w:val="Heading3"/>
      </w:pPr>
      <w:r>
        <w:lastRenderedPageBreak/>
        <w:t>4.13 Allergy and Immunology</w:t>
      </w:r>
    </w:p>
    <w:p w14:paraId="0D6F847D" w14:textId="77777777" w:rsidR="00B254B1" w:rsidRDefault="00000000">
      <w:pPr>
        <w:pStyle w:val="ListBullet"/>
      </w:pPr>
      <w:r>
        <w:t>Evaluation of medication allergies and hypersensitivity reactions</w:t>
      </w:r>
    </w:p>
    <w:p w14:paraId="0A3A5973" w14:textId="77777777" w:rsidR="00B254B1" w:rsidRDefault="00000000">
      <w:pPr>
        <w:pStyle w:val="ListBullet"/>
      </w:pPr>
      <w:r>
        <w:t>Support for immunosuppressive therapy planning</w:t>
      </w:r>
    </w:p>
    <w:p w14:paraId="7B86406E" w14:textId="77777777" w:rsidR="00B254B1" w:rsidRDefault="00000000">
      <w:pPr>
        <w:pStyle w:val="Heading3"/>
      </w:pPr>
      <w:r>
        <w:t>4.14 Clinical Immunology</w:t>
      </w:r>
    </w:p>
    <w:p w14:paraId="6862A9E1" w14:textId="77777777" w:rsidR="00B254B1" w:rsidRDefault="00000000">
      <w:pPr>
        <w:pStyle w:val="ListBullet"/>
      </w:pPr>
      <w:r>
        <w:t>Consultation for immune-mediated conditions</w:t>
      </w:r>
    </w:p>
    <w:p w14:paraId="2C1C0890" w14:textId="77777777" w:rsidR="00B254B1" w:rsidRDefault="00000000">
      <w:pPr>
        <w:pStyle w:val="ListBullet"/>
      </w:pPr>
      <w:r>
        <w:t>Collaboration with histocompatibility and transplant teams</w:t>
      </w:r>
    </w:p>
    <w:p w14:paraId="4A813E66" w14:textId="77777777" w:rsidR="00B254B1" w:rsidRDefault="00000000">
      <w:pPr>
        <w:pStyle w:val="Heading2"/>
      </w:pPr>
      <w:r>
        <w:t>5. NURSING AND ALLIED HEALTH SERVICES</w:t>
      </w:r>
    </w:p>
    <w:p w14:paraId="5B43B0D6" w14:textId="77777777" w:rsidR="00B254B1" w:rsidRDefault="00000000">
      <w:pPr>
        <w:pStyle w:val="ListBullet"/>
      </w:pPr>
      <w:r>
        <w:t>Inpatient nursing units with transplant care capability</w:t>
      </w:r>
    </w:p>
    <w:p w14:paraId="4EE3DD27" w14:textId="77777777" w:rsidR="00B254B1" w:rsidRDefault="00000000">
      <w:pPr>
        <w:pStyle w:val="ListBullet"/>
      </w:pPr>
      <w:r>
        <w:t>Outpatient transplant nursing support</w:t>
      </w:r>
    </w:p>
    <w:p w14:paraId="16A81216" w14:textId="77777777" w:rsidR="00B254B1" w:rsidRDefault="00000000">
      <w:pPr>
        <w:pStyle w:val="ListBullet"/>
      </w:pPr>
      <w:r>
        <w:t>Advanced practice nursing support where applicable</w:t>
      </w:r>
    </w:p>
    <w:p w14:paraId="48CAA591" w14:textId="77777777" w:rsidR="00B254B1" w:rsidRDefault="00000000">
      <w:pPr>
        <w:pStyle w:val="Heading2"/>
      </w:pPr>
      <w:r>
        <w:t>6. DIAGNOSTIC AND TECHNICAL SERVICES</w:t>
      </w:r>
    </w:p>
    <w:p w14:paraId="213E81C5" w14:textId="77777777" w:rsidR="00B254B1" w:rsidRDefault="00000000">
      <w:pPr>
        <w:pStyle w:val="Heading3"/>
      </w:pPr>
      <w:r>
        <w:t>6.1 Clinical Laboratory Services</w:t>
      </w:r>
    </w:p>
    <w:p w14:paraId="76053117" w14:textId="77777777" w:rsidR="00B254B1" w:rsidRDefault="00000000">
      <w:pPr>
        <w:pStyle w:val="ListBullet"/>
      </w:pPr>
      <w:r>
        <w:t>Routine clinical laboratory testing</w:t>
      </w:r>
    </w:p>
    <w:p w14:paraId="403926FB" w14:textId="77777777" w:rsidR="00B254B1" w:rsidRDefault="00000000">
      <w:pPr>
        <w:pStyle w:val="ListBullet"/>
      </w:pPr>
      <w:r>
        <w:t>Inpatient and outpatient laboratory access</w:t>
      </w:r>
    </w:p>
    <w:p w14:paraId="6B994D1D" w14:textId="77777777" w:rsidR="00B254B1" w:rsidRDefault="00000000">
      <w:pPr>
        <w:pStyle w:val="Heading3"/>
      </w:pPr>
      <w:r>
        <w:t>6.2 Histocompatibility / Human Leukocyte Antigen (HLA) Services</w:t>
      </w:r>
    </w:p>
    <w:p w14:paraId="73303AE2" w14:textId="77777777" w:rsidR="00B254B1" w:rsidRDefault="00000000">
      <w:pPr>
        <w:pStyle w:val="ListBullet"/>
      </w:pPr>
      <w:r>
        <w:t>Donor-recipient compatibility testing</w:t>
      </w:r>
    </w:p>
    <w:p w14:paraId="1C4FD8EE" w14:textId="77777777" w:rsidR="00B254B1" w:rsidRDefault="00000000">
      <w:pPr>
        <w:pStyle w:val="ListBullet"/>
      </w:pPr>
      <w:r>
        <w:t>Antibody testing and crossmatching</w:t>
      </w:r>
    </w:p>
    <w:p w14:paraId="3E41DA6F" w14:textId="77777777" w:rsidR="00B254B1" w:rsidRDefault="00000000">
      <w:pPr>
        <w:pStyle w:val="Heading3"/>
      </w:pPr>
      <w:r>
        <w:t>6.3 Blood Bank and Transfusion Services</w:t>
      </w:r>
    </w:p>
    <w:p w14:paraId="7F65A219" w14:textId="77777777" w:rsidR="00B254B1" w:rsidRDefault="00000000">
      <w:pPr>
        <w:pStyle w:val="ListBullet"/>
      </w:pPr>
      <w:r>
        <w:t>Blood product availability</w:t>
      </w:r>
    </w:p>
    <w:p w14:paraId="790887BF" w14:textId="77777777" w:rsidR="00B254B1" w:rsidRDefault="00000000">
      <w:pPr>
        <w:pStyle w:val="ListBullet"/>
      </w:pPr>
      <w:r>
        <w:t>Support for perioperative and post-operative transfusion needs</w:t>
      </w:r>
    </w:p>
    <w:p w14:paraId="574CB587" w14:textId="77777777" w:rsidR="00B254B1" w:rsidRDefault="00000000">
      <w:pPr>
        <w:pStyle w:val="Heading3"/>
      </w:pPr>
      <w:r>
        <w:t>6.4 Radiology</w:t>
      </w:r>
    </w:p>
    <w:p w14:paraId="34DCE1B9" w14:textId="77777777" w:rsidR="00B254B1" w:rsidRDefault="00000000">
      <w:pPr>
        <w:pStyle w:val="ListBullet"/>
      </w:pPr>
      <w:r>
        <w:t>Ultrasound, Computed Tomography (CT), and Nuclear Medicine imaging</w:t>
      </w:r>
    </w:p>
    <w:p w14:paraId="18CC3C58" w14:textId="77777777" w:rsidR="00B254B1" w:rsidRDefault="00000000">
      <w:pPr>
        <w:pStyle w:val="ListBullet"/>
      </w:pPr>
      <w:r>
        <w:t>Interventional radiology for biopsies, drainage, and vascular procedures</w:t>
      </w:r>
    </w:p>
    <w:p w14:paraId="6E33B00B" w14:textId="77777777" w:rsidR="00B254B1" w:rsidRDefault="00000000">
      <w:pPr>
        <w:pStyle w:val="Heading3"/>
      </w:pPr>
      <w:r>
        <w:t>6.5 Pathology</w:t>
      </w:r>
    </w:p>
    <w:p w14:paraId="4FF5790D" w14:textId="77777777" w:rsidR="00B254B1" w:rsidRDefault="00000000">
      <w:pPr>
        <w:pStyle w:val="ListBullet"/>
      </w:pPr>
      <w:r>
        <w:t>Surgical pathology services</w:t>
      </w:r>
    </w:p>
    <w:p w14:paraId="1731C6A9" w14:textId="77777777" w:rsidR="00B254B1" w:rsidRDefault="00000000">
      <w:pPr>
        <w:pStyle w:val="ListBullet"/>
      </w:pPr>
      <w:r>
        <w:t>Access to transplant pathology expertise as needed</w:t>
      </w:r>
    </w:p>
    <w:p w14:paraId="6B9EFA30" w14:textId="77777777" w:rsidR="00B254B1" w:rsidRDefault="00000000">
      <w:pPr>
        <w:pStyle w:val="Heading2"/>
      </w:pPr>
      <w:r>
        <w:t>7. OPERATIONAL AND SUPPORT SERVICES</w:t>
      </w:r>
    </w:p>
    <w:p w14:paraId="4CF0F780" w14:textId="77777777" w:rsidR="00B254B1" w:rsidRDefault="00000000">
      <w:pPr>
        <w:pStyle w:val="ListBullet"/>
      </w:pPr>
      <w:r>
        <w:t>Operating Room (OR) services with transplant capability</w:t>
      </w:r>
    </w:p>
    <w:p w14:paraId="5353D146" w14:textId="77777777" w:rsidR="00B254B1" w:rsidRDefault="00000000">
      <w:pPr>
        <w:pStyle w:val="ListBullet"/>
      </w:pPr>
      <w:r>
        <w:t>Sterile processing services</w:t>
      </w:r>
    </w:p>
    <w:p w14:paraId="51905A39" w14:textId="77777777" w:rsidR="00B254B1" w:rsidRDefault="00000000">
      <w:pPr>
        <w:pStyle w:val="ListBullet"/>
      </w:pPr>
      <w:r>
        <w:t>Pharmacy services (inpatient and outpatient)</w:t>
      </w:r>
    </w:p>
    <w:p w14:paraId="29E216D9" w14:textId="77777777" w:rsidR="00B254B1" w:rsidRDefault="00000000">
      <w:pPr>
        <w:pStyle w:val="ListBullet"/>
      </w:pPr>
      <w:r>
        <w:t>Social work services (transplant-integrated and general)</w:t>
      </w:r>
    </w:p>
    <w:p w14:paraId="61934A03" w14:textId="77777777" w:rsidR="00B254B1" w:rsidRDefault="00000000">
      <w:pPr>
        <w:pStyle w:val="ListBullet"/>
      </w:pPr>
      <w:r>
        <w:t>Nutrition services with renal and transplant expertise</w:t>
      </w:r>
    </w:p>
    <w:p w14:paraId="6A8B445B" w14:textId="77777777" w:rsidR="00B254B1" w:rsidRDefault="00000000">
      <w:pPr>
        <w:pStyle w:val="Heading2"/>
      </w:pPr>
      <w:r>
        <w:t>8. EMERGENCY, TRANSFER, AND ACCESS SERVICES</w:t>
      </w:r>
    </w:p>
    <w:p w14:paraId="7BCA4D24" w14:textId="77777777" w:rsidR="00B254B1" w:rsidRDefault="00000000">
      <w:pPr>
        <w:pStyle w:val="ListBullet"/>
      </w:pPr>
      <w:r>
        <w:t>Emergency Department services for transplant candidates and recipients</w:t>
      </w:r>
    </w:p>
    <w:p w14:paraId="1AFE6879" w14:textId="77777777" w:rsidR="00B254B1" w:rsidRDefault="00000000">
      <w:pPr>
        <w:pStyle w:val="ListBullet"/>
      </w:pPr>
      <w:r>
        <w:lastRenderedPageBreak/>
        <w:t>Hospital transfer center support for urgent referrals and complications</w:t>
      </w:r>
    </w:p>
    <w:p w14:paraId="2CFAB051" w14:textId="77777777" w:rsidR="00B254B1" w:rsidRDefault="00000000">
      <w:pPr>
        <w:pStyle w:val="ListBullet"/>
      </w:pPr>
      <w:r>
        <w:t>Compliance with the Emergency Medical Treatment and Labor Act (EMTALA)</w:t>
      </w:r>
    </w:p>
    <w:p w14:paraId="284ADC68" w14:textId="77777777" w:rsidR="00B254B1" w:rsidRDefault="00000000">
      <w:pPr>
        <w:pStyle w:val="Heading2"/>
      </w:pPr>
      <w:r>
        <w:t>9. AVAILABILITY, OVERSIGHT, AND QUALITY</w:t>
      </w:r>
    </w:p>
    <w:p w14:paraId="5AF65879" w14:textId="77777777" w:rsidR="00B254B1" w:rsidRDefault="00000000">
      <w:pPr>
        <w:pStyle w:val="ListBullet"/>
      </w:pPr>
      <w:r>
        <w:t>Ancillary services operate under institutional policies and service-line standards</w:t>
      </w:r>
    </w:p>
    <w:p w14:paraId="37ACF9DE" w14:textId="77777777" w:rsidR="00B254B1" w:rsidRDefault="00000000">
      <w:pPr>
        <w:pStyle w:val="ListBullet"/>
      </w:pPr>
      <w:r>
        <w:t>Availability is reviewed through transplant program quality oversight</w:t>
      </w:r>
    </w:p>
    <w:p w14:paraId="01FA804F" w14:textId="77777777" w:rsidR="00B254B1" w:rsidRDefault="00000000">
      <w:pPr>
        <w:pStyle w:val="ListBullet"/>
      </w:pPr>
      <w:r>
        <w:t>Identified gaps are escalated to transplant program leadership</w:t>
      </w:r>
    </w:p>
    <w:p w14:paraId="02191532" w14:textId="77777777" w:rsidR="00B254B1" w:rsidRDefault="00000000">
      <w:pPr>
        <w:pStyle w:val="Heading2"/>
      </w:pPr>
      <w:r>
        <w:t>10. REGULATORY REFERENCES</w:t>
      </w:r>
    </w:p>
    <w:p w14:paraId="174EBF04" w14:textId="77777777" w:rsidR="00B254B1" w:rsidRDefault="00000000">
      <w:pPr>
        <w:pStyle w:val="ListBullet"/>
      </w:pPr>
      <w:r>
        <w:t>OPTN/UNOS Bylaws Appendix D — Kidney Transplant Program Requirements</w:t>
      </w:r>
    </w:p>
    <w:p w14:paraId="4302A822" w14:textId="77777777" w:rsidR="00B254B1" w:rsidRDefault="00000000">
      <w:pPr>
        <w:pStyle w:val="ListBullet"/>
      </w:pPr>
      <w:r>
        <w:t>Centers for Medicare &amp; Medicaid Services (CMS) Conditions of Participation for Transplant Programs</w:t>
      </w:r>
    </w:p>
    <w:p w14:paraId="57F8EE98" w14:textId="77777777" w:rsidR="00B254B1" w:rsidRDefault="00000000">
      <w:pPr>
        <w:pStyle w:val="ListBullet"/>
      </w:pPr>
      <w:r>
        <w:t>Emergency Medical Treatment and Labor Act (EMTALA)</w:t>
      </w:r>
    </w:p>
    <w:p w14:paraId="03E62779" w14:textId="77777777" w:rsidR="00B254B1" w:rsidRDefault="00000000">
      <w:pPr>
        <w:pStyle w:val="Heading2"/>
      </w:pPr>
      <w:r>
        <w:t>11. APPROVAL &amp; SIGNATURES</w:t>
      </w:r>
    </w:p>
    <w:p w14:paraId="2F84EFCD" w14:textId="77777777" w:rsidR="00B254B1" w:rsidRDefault="00000000">
      <w:r>
        <w:t>Program Medical Director</w:t>
      </w:r>
      <w:r>
        <w:br/>
        <w:t>Name: __________________________</w:t>
      </w:r>
      <w:r>
        <w:br/>
        <w:t>Signature: ______________________</w:t>
      </w:r>
      <w:r>
        <w:br/>
        <w:t>Date: ___________________________</w:t>
      </w:r>
    </w:p>
    <w:p w14:paraId="19F050B6" w14:textId="77777777" w:rsidR="00B254B1" w:rsidRDefault="00000000">
      <w:r>
        <w:t>Program Surgical Director</w:t>
      </w:r>
      <w:r>
        <w:br/>
        <w:t>Name: __________________________</w:t>
      </w:r>
      <w:r>
        <w:br/>
        <w:t>Signature: ______________________</w:t>
      </w:r>
      <w:r>
        <w:br/>
        <w:t>Date: ___________________________</w:t>
      </w:r>
    </w:p>
    <w:p w14:paraId="3355034D" w14:textId="77777777" w:rsidR="00B254B1" w:rsidRDefault="00000000">
      <w:r>
        <w:t>Transplant Nephrology Director</w:t>
      </w:r>
      <w:r>
        <w:br/>
        <w:t>Name: __________________________</w:t>
      </w:r>
      <w:r>
        <w:br/>
        <w:t>Signature: ______________________</w:t>
      </w:r>
      <w:r>
        <w:br/>
        <w:t>Date: ___________________________</w:t>
      </w:r>
    </w:p>
    <w:p w14:paraId="5F6C68C1" w14:textId="77777777" w:rsidR="00B254B1" w:rsidRDefault="00000000">
      <w:r>
        <w:t>Hospital Executive Sponsor</w:t>
      </w:r>
      <w:r>
        <w:br/>
        <w:t>Name: __________________________</w:t>
      </w:r>
      <w:r>
        <w:br/>
        <w:t>Signature: ______________________</w:t>
      </w:r>
      <w:r>
        <w:br/>
        <w:t>Date: ___________________________</w:t>
      </w:r>
    </w:p>
    <w:sectPr w:rsidR="00B254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561292">
    <w:abstractNumId w:val="8"/>
  </w:num>
  <w:num w:numId="2" w16cid:durableId="77138162">
    <w:abstractNumId w:val="6"/>
  </w:num>
  <w:num w:numId="3" w16cid:durableId="1088237792">
    <w:abstractNumId w:val="5"/>
  </w:num>
  <w:num w:numId="4" w16cid:durableId="443623196">
    <w:abstractNumId w:val="4"/>
  </w:num>
  <w:num w:numId="5" w16cid:durableId="695666097">
    <w:abstractNumId w:val="7"/>
  </w:num>
  <w:num w:numId="6" w16cid:durableId="374893553">
    <w:abstractNumId w:val="3"/>
  </w:num>
  <w:num w:numId="7" w16cid:durableId="1567644683">
    <w:abstractNumId w:val="2"/>
  </w:num>
  <w:num w:numId="8" w16cid:durableId="1176578167">
    <w:abstractNumId w:val="1"/>
  </w:num>
  <w:num w:numId="9" w16cid:durableId="157281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76A2"/>
    <w:rsid w:val="00AA1D8D"/>
    <w:rsid w:val="00B254B1"/>
    <w:rsid w:val="00B47730"/>
    <w:rsid w:val="00CB0664"/>
    <w:rsid w:val="00FA3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60D9A2-3207-486C-B524-AB49CC6F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E1A2C48-9004-43B5-A7A9-7740FDC82F2B}"/>
</file>

<file path=customXml/itemProps3.xml><?xml version="1.0" encoding="utf-8"?>
<ds:datastoreItem xmlns:ds="http://schemas.openxmlformats.org/officeDocument/2006/customXml" ds:itemID="{4E096F37-00F6-4010-94BE-8DB690F88CCE}"/>
</file>

<file path=customXml/itemProps4.xml><?xml version="1.0" encoding="utf-8"?>
<ds:datastoreItem xmlns:ds="http://schemas.openxmlformats.org/officeDocument/2006/customXml" ds:itemID="{4FFDED0D-F06B-4F54-9B37-86E0F27B8595}"/>
</file>

<file path=docProps/app.xml><?xml version="1.0" encoding="utf-8"?>
<Properties xmlns="http://schemas.openxmlformats.org/officeDocument/2006/extended-properties" xmlns:vt="http://schemas.openxmlformats.org/officeDocument/2006/docPropsVTypes">
  <Template>Normal</Template>
  <TotalTime>1</TotalTime>
  <Pages>4</Pages>
  <Words>660</Words>
  <Characters>5054</Characters>
  <Application>Microsoft Office Word</Application>
  <DocSecurity>0</DocSecurity>
  <Lines>126</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Salzberg</cp:lastModifiedBy>
  <cp:revision>2</cp:revision>
  <dcterms:created xsi:type="dcterms:W3CDTF">2013-12-23T23:15:00Z</dcterms:created>
  <dcterms:modified xsi:type="dcterms:W3CDTF">2026-01-20T22:29:00Z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