
<file path=[Content_Types].xml><?xml version="1.0" encoding="UTF-8" standalone="y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Carilion Clinic Kidney Transplant Program</w:t>
      </w:r>
    </w:p>
    <w:p>
      <w:pPr>
        <w:pStyle w:val="Heading1"/>
      </w:pPr>
      <w:r>
        <w:t>2.4 Transplant Selection Committee Structure and Function</w:t>
      </w:r>
    </w:p>
    <w:p>
      <w:r>
        <w:t>Policy Number: KT-STR-004</w:t>
      </w:r>
    </w:p>
    <w:p>
      <w:r>
        <w:t>Effective Date: __________</w:t>
      </w:r>
    </w:p>
    <w:p>
      <w:r>
        <w:t>Review Cycle: Annual</w:t>
      </w:r>
    </w:p>
    <w:p>
      <w:r>
        <w:t>Applies To: Kidney Transplant Program (Deceased Donor and Living Donor)</w:t>
      </w:r>
    </w:p>
    <w:p>
      <w:pPr>
        <w:pStyle w:val="Heading2"/>
      </w:pPr>
      <w:r>
        <w:t>1. PURPOSE</w:t>
      </w:r>
    </w:p>
    <w:p>
      <w:r>
        <w:t>To define the structure, composition, authority, and function of the Kidney Transplant Selection Committees at Carilion Clinic, ensuring consistent, fair, ethical, and compliant decision-making for transplant candidates and living donors in accordance with Organ Procurement and Transplantation Network (OPTN) / United Network for Organ Sharing (UNOS) policies, Centers for Medicare &amp; Medicaid Services (CMS) Conditions of Participation, and institutional governance standards.</w:t>
      </w:r>
    </w:p>
    <w:p>
      <w:pPr>
        <w:pStyle w:val="Heading2"/>
      </w:pPr>
      <w:r>
        <w:t>2. SCOPE</w:t>
      </w:r>
    </w:p>
    <w:p>
      <w:pPr>
        <w:pStyle w:val="ListBullet"/>
      </w:pPr>
      <w:r>
        <w:t>Kidney transplant recipient evaluation, selection, listing, deferral, inactivation, and removal</w:t>
      </w:r>
    </w:p>
    <w:p>
      <w:pPr>
        <w:pStyle w:val="ListBullet"/>
      </w:pPr>
      <w:r>
        <w:t>Living kidney donor evaluation, acceptance, deferral, and exclusion</w:t>
      </w:r>
    </w:p>
    <w:p>
      <w:pPr>
        <w:pStyle w:val="Heading2"/>
      </w:pPr>
      <w:r>
        <w:t>3. POLICY STATEMENT</w:t>
      </w:r>
    </w:p>
    <w:p>
      <w:r>
        <w:t>All decisions regarding kidney transplant candidacy and living donor suitability are made through formal, multidisciplinary committee processes.</w:t>
      </w:r>
    </w:p>
    <w:p>
      <w:r>
        <w:t>Separate but coordinated committee processes are maintained for recipient selection and living donor selection to preserve ethical clarity and role separation.</w:t>
      </w:r>
    </w:p>
    <w:p>
      <w:pPr>
        <w:pStyle w:val="Heading2"/>
      </w:pPr>
      <w:r>
        <w:t>4. COMMITTEE AUTHORITY</w:t>
      </w:r>
    </w:p>
    <w:p>
      <w:pPr>
        <w:pStyle w:val="Heading3"/>
      </w:pPr>
      <w:r>
        <w:t>4.1 Recipient Selection Committee Authority</w:t>
      </w:r>
    </w:p>
    <w:p>
      <w:r>
        <w:t>The Kidney Transplant Recipient Selection Committee serves as the final authority for decisions regarding listing, deferral, inactivation, and removal from the transplant waitlist, subject to OPTN/UNOS policies, CMS Conditions of Participation, and institutional Medical Staff governance.</w:t>
      </w:r>
    </w:p>
    <w:p>
      <w:pPr>
        <w:pStyle w:val="Heading3"/>
      </w:pPr>
      <w:r>
        <w:t>4.2 Living Donor Selection Committee Authority</w:t>
      </w:r>
    </w:p>
    <w:p>
      <w:r>
        <w:t>The Living Donor Selection Committee serves as the final authority for determining living donor suitability, acceptance, deferral, or exclusion. Donor decisions prioritize donor safety, autonomy, and informed consent and are made independently of recipient considerations.</w:t>
      </w:r>
    </w:p>
    <w:p>
      <w:pPr>
        <w:pStyle w:val="Heading2"/>
      </w:pPr>
      <w:r>
        <w:t>5. COMMITTEE STRUCTURE AND COMPOSITION</w:t>
      </w:r>
    </w:p>
    <w:p>
      <w:pPr>
        <w:pStyle w:val="Heading3"/>
      </w:pPr>
      <w:r>
        <w:t>5.1 Recipient Selection Committee — Required Core Members</w:t>
      </w:r>
    </w:p>
    <w:p>
      <w:pPr>
        <w:pStyle w:val="ListBullet"/>
      </w:pPr>
      <w:r>
        <w:t>Transplant Surgeon</w:t>
      </w:r>
    </w:p>
    <w:p>
      <w:pPr>
        <w:pStyle w:val="ListBullet"/>
      </w:pPr>
      <w:r>
        <w:t>Transplant Nephrologist</w:t>
      </w:r>
    </w:p>
    <w:p>
      <w:pPr>
        <w:pStyle w:val="ListBullet"/>
      </w:pPr>
      <w:r>
        <w:t>Transplant Coordinator</w:t>
      </w:r>
    </w:p>
    <w:p>
      <w:pPr>
        <w:pStyle w:val="ListBullet"/>
      </w:pPr>
      <w:r>
        <w:t>Transplant Social Worker</w:t>
      </w:r>
    </w:p>
    <w:p>
      <w:pPr>
        <w:pStyle w:val="Heading3"/>
      </w:pPr>
      <w:r>
        <w:t>5.2 Additional Recipient Committee Members (as applicable)</w:t>
      </w:r>
    </w:p>
    <w:p>
      <w:pPr>
        <w:pStyle w:val="ListBullet"/>
      </w:pPr>
      <w:r>
        <w:t>Transplant Pharmacist</w:t>
      </w:r>
    </w:p>
    <w:p>
      <w:pPr>
        <w:pStyle w:val="ListBullet"/>
      </w:pPr>
      <w:r>
        <w:t>Transplant Dietitian</w:t>
      </w:r>
    </w:p>
    <w:p>
      <w:pPr>
        <w:pStyle w:val="ListBullet"/>
      </w:pPr>
      <w:r>
        <w:t>Psychiatry / Psychology</w:t>
      </w:r>
    </w:p>
    <w:p>
      <w:pPr>
        <w:pStyle w:val="ListBullet"/>
      </w:pPr>
      <w:r>
        <w:t>Nursing leadership</w:t>
      </w:r>
    </w:p>
    <w:p>
      <w:pPr>
        <w:pStyle w:val="ListBullet"/>
      </w:pPr>
      <w:r>
        <w:t>Financial coordinator</w:t>
      </w:r>
    </w:p>
    <w:p>
      <w:pPr>
        <w:pStyle w:val="ListBullet"/>
      </w:pPr>
      <w:r>
        <w:t>Other specialty consultants as needed</w:t>
      </w:r>
    </w:p>
    <w:p>
      <w:pPr>
        <w:pStyle w:val="Heading3"/>
      </w:pPr>
      <w:r>
        <w:t>5.3 Living Donor Selection Committee Composition</w:t>
      </w:r>
    </w:p>
    <w:p>
      <w:pPr>
        <w:pStyle w:val="ListBullet"/>
      </w:pPr>
      <w:r>
        <w:t>Transplant Surgeon</w:t>
      </w:r>
    </w:p>
    <w:p>
      <w:pPr>
        <w:pStyle w:val="ListBullet"/>
      </w:pPr>
      <w:r>
        <w:t>Transplant Nephrologist</w:t>
      </w:r>
    </w:p>
    <w:p>
      <w:pPr>
        <w:pStyle w:val="ListBullet"/>
      </w:pPr>
      <w:r>
        <w:t>Independent Living Donor Advocate (ILDA)</w:t>
      </w:r>
    </w:p>
    <w:p>
      <w:pPr>
        <w:pStyle w:val="ListBullet"/>
      </w:pPr>
      <w:r>
        <w:t>Transplant Coordinator</w:t>
      </w:r>
    </w:p>
    <w:p>
      <w:pPr>
        <w:pStyle w:val="ListBullet"/>
      </w:pPr>
      <w:r>
        <w:t>Transplant Social Worker</w:t>
      </w:r>
    </w:p>
    <w:p>
      <w:pPr>
        <w:pStyle w:val="ListBullet"/>
      </w:pPr>
      <w:r>
        <w:t>Psychiatry / Psychology (as indicated)</w:t>
      </w:r>
    </w:p>
    <w:p>
      <w:pPr>
        <w:pStyle w:val="Heading2"/>
      </w:pPr>
      <w:r>
        <w:t>6. MEETING FREQUENCY AND STRUCTURE</w:t>
      </w:r>
    </w:p>
    <w:p>
      <w:pPr>
        <w:pStyle w:val="Heading3"/>
      </w:pPr>
      <w:r>
        <w:t>6.1 Recipient Selection Committee</w:t>
      </w:r>
    </w:p>
    <w:p>
      <w:pPr>
        <w:pStyle w:val="ListBullet"/>
      </w:pPr>
      <w:r>
        <w:t>Meets on a regular, scheduled basis</w:t>
      </w:r>
    </w:p>
    <w:p>
      <w:pPr>
        <w:pStyle w:val="ListBullet"/>
      </w:pPr>
      <w:r>
        <w:t>Ad hoc meetings convened as needed</w:t>
      </w:r>
    </w:p>
    <w:p>
      <w:pPr>
        <w:pStyle w:val="ListBullet"/>
      </w:pPr>
      <w:r>
        <w:t>Attendance and quorum are documented</w:t>
      </w:r>
    </w:p>
    <w:p>
      <w:pPr>
        <w:pStyle w:val="Heading3"/>
      </w:pPr>
      <w:r>
        <w:t>6.2 Living Donor Selection Committee</w:t>
      </w:r>
    </w:p>
    <w:p>
      <w:pPr>
        <w:pStyle w:val="ListBullet"/>
      </w:pPr>
      <w:r>
        <w:t>Meets monthly at a minimum</w:t>
      </w:r>
    </w:p>
    <w:p>
      <w:pPr>
        <w:pStyle w:val="ListBullet"/>
      </w:pPr>
      <w:r>
        <w:t>Additional meetings convened as donor volume or clinical urgency requires</w:t>
      </w:r>
    </w:p>
    <w:p>
      <w:pPr>
        <w:pStyle w:val="ListBullet"/>
      </w:pPr>
      <w:r>
        <w:t>Donor decisions are not expedited for recipient or programmatic reasons</w:t>
      </w:r>
    </w:p>
    <w:p>
      <w:pPr>
        <w:pStyle w:val="Heading2"/>
      </w:pPr>
      <w:r>
        <w:t>7. DECISION-MAKING PROCESS</w:t>
      </w:r>
    </w:p>
    <w:p>
      <w:pPr>
        <w:pStyle w:val="Heading3"/>
      </w:pPr>
      <w:r>
        <w:t>7.1 Recipient Evaluation Review</w:t>
      </w:r>
    </w:p>
    <w:p>
      <w:pPr>
        <w:pStyle w:val="ListBullet"/>
      </w:pPr>
      <w:r>
        <w:t>Medical and surgical suitability</w:t>
      </w:r>
    </w:p>
    <w:p>
      <w:pPr>
        <w:pStyle w:val="ListBullet"/>
      </w:pPr>
      <w:r>
        <w:t>Cardiopulmonary risk assessment</w:t>
      </w:r>
    </w:p>
    <w:p>
      <w:pPr>
        <w:pStyle w:val="ListBullet"/>
      </w:pPr>
      <w:r>
        <w:t>Psychosocial evaluation and support systems</w:t>
      </w:r>
    </w:p>
    <w:p>
      <w:pPr>
        <w:pStyle w:val="ListBullet"/>
      </w:pPr>
      <w:r>
        <w:t>Nutritional status</w:t>
      </w:r>
    </w:p>
    <w:p>
      <w:pPr>
        <w:pStyle w:val="ListBullet"/>
      </w:pPr>
      <w:r>
        <w:t>Financial and insurance readiness</w:t>
      </w:r>
    </w:p>
    <w:p>
      <w:pPr>
        <w:pStyle w:val="ListBullet"/>
      </w:pPr>
      <w:r>
        <w:t>Adherence risk and longitudinal care feasibility</w:t>
      </w:r>
    </w:p>
    <w:p>
      <w:pPr>
        <w:pStyle w:val="Heading3"/>
      </w:pPr>
      <w:r>
        <w:t>7.2 Living Donor Evaluation Review</w:t>
      </w:r>
    </w:p>
    <w:p>
      <w:pPr>
        <w:pStyle w:val="ListBullet"/>
      </w:pPr>
      <w:r>
        <w:t>Medical suitability and long-term risk assessment</w:t>
      </w:r>
    </w:p>
    <w:p>
      <w:pPr>
        <w:pStyle w:val="ListBullet"/>
      </w:pPr>
      <w:r>
        <w:t>Psychosocial evaluation and voluntariness</w:t>
      </w:r>
    </w:p>
    <w:p>
      <w:pPr>
        <w:pStyle w:val="ListBullet"/>
      </w:pPr>
      <w:r>
        <w:t>Independent Living Donor Advocate input</w:t>
      </w:r>
    </w:p>
    <w:p>
      <w:pPr>
        <w:pStyle w:val="ListBullet"/>
      </w:pPr>
      <w:r>
        <w:t>Donor understanding of risks and alternatives</w:t>
      </w:r>
    </w:p>
    <w:p>
      <w:pPr>
        <w:pStyle w:val="Heading3"/>
      </w:pPr>
      <w:r>
        <w:t>7.3 Committee Determinations</w:t>
      </w:r>
    </w:p>
    <w:p>
      <w:pPr>
        <w:pStyle w:val="ListBullet"/>
      </w:pPr>
      <w:r>
        <w:t>Approved</w:t>
      </w:r>
    </w:p>
    <w:p>
      <w:pPr>
        <w:pStyle w:val="ListBullet"/>
      </w:pPr>
      <w:r>
        <w:t>Deferred pending additional evaluation or optimization</w:t>
      </w:r>
    </w:p>
    <w:p>
      <w:pPr>
        <w:pStyle w:val="ListBullet"/>
      </w:pPr>
      <w:r>
        <w:t>Not approved</w:t>
      </w:r>
    </w:p>
    <w:p>
      <w:pPr>
        <w:pStyle w:val="Heading2"/>
      </w:pPr>
      <w:r>
        <w:t>8. CONSENSUS, VOTING, AND DISSENT</w:t>
      </w:r>
    </w:p>
    <w:p>
      <w:pPr>
        <w:pStyle w:val="ListBullet"/>
      </w:pPr>
      <w:r>
        <w:t>Structured discussion is used to reach consensus</w:t>
      </w:r>
    </w:p>
    <w:p>
      <w:pPr>
        <w:pStyle w:val="ListBullet"/>
      </w:pPr>
      <w:r>
        <w:t>Formal voting may occur when consensus is not achieved</w:t>
      </w:r>
    </w:p>
    <w:p>
      <w:pPr>
        <w:pStyle w:val="ListBullet"/>
      </w:pPr>
      <w:r>
        <w:t>Dissenting opinions may be documented</w:t>
      </w:r>
    </w:p>
    <w:p>
      <w:pPr>
        <w:pStyle w:val="Heading2"/>
      </w:pPr>
      <w:r>
        <w:t>9. DOCUMENTATION AND COMMUNICATION</w:t>
      </w:r>
    </w:p>
    <w:p>
      <w:pPr>
        <w:pStyle w:val="ListBullet"/>
      </w:pPr>
      <w:r>
        <w:t>Committee decisions are documented in the medical record</w:t>
      </w:r>
    </w:p>
    <w:p>
      <w:pPr>
        <w:pStyle w:val="ListBullet"/>
      </w:pPr>
      <w:r>
        <w:t>Rationale for decisions is clearly recorded</w:t>
      </w:r>
    </w:p>
    <w:p>
      <w:pPr>
        <w:pStyle w:val="ListBullet"/>
      </w:pPr>
      <w:r>
        <w:t>Patients are notified of decisions in accordance with OPTN requirements</w:t>
      </w:r>
    </w:p>
    <w:p>
      <w:pPr>
        <w:pStyle w:val="ListBullet"/>
      </w:pPr>
      <w:r>
        <w:t>Denials and deferrals include documented reasons and appeal pathways where applicable</w:t>
      </w:r>
    </w:p>
    <w:p>
      <w:pPr>
        <w:pStyle w:val="Heading2"/>
      </w:pPr>
      <w:r>
        <w:t>10. WAITLIST AND DONOR RE-EVALUATION</w:t>
      </w:r>
    </w:p>
    <w:p>
      <w:pPr>
        <w:pStyle w:val="ListBullet"/>
      </w:pPr>
      <w:r>
        <w:t>Candidates undergo periodic re-evaluation while listed</w:t>
      </w:r>
    </w:p>
    <w:p>
      <w:pPr>
        <w:pStyle w:val="ListBullet"/>
      </w:pPr>
      <w:r>
        <w:t>Changes in medical or psychosocial status trigger committee review</w:t>
      </w:r>
    </w:p>
    <w:p>
      <w:pPr>
        <w:pStyle w:val="ListBullet"/>
      </w:pPr>
      <w:r>
        <w:t>Living donors may be re-reviewed if new clinical information arises</w:t>
      </w:r>
    </w:p>
    <w:p>
      <w:pPr>
        <w:pStyle w:val="Heading2"/>
      </w:pPr>
      <w:r>
        <w:t>11. ETHICAL AND NON-DISCRIMINATION PRINCIPLES</w:t>
      </w:r>
    </w:p>
    <w:p>
      <w:pPr>
        <w:pStyle w:val="ListBullet"/>
      </w:pPr>
      <w:r>
        <w:t>Decisions are made without discrimination based on protected characteristics</w:t>
      </w:r>
    </w:p>
    <w:p>
      <w:pPr>
        <w:pStyle w:val="ListBullet"/>
      </w:pPr>
      <w:r>
        <w:t>Medical appropriateness, safety, and ethical stewardship guide decisions</w:t>
      </w:r>
    </w:p>
    <w:p>
      <w:pPr>
        <w:pStyle w:val="Heading2"/>
      </w:pPr>
      <w:r>
        <w:t>12. QUALITY OVERSIGHT AND REVIEW</w:t>
      </w:r>
    </w:p>
    <w:p>
      <w:pPr>
        <w:pStyle w:val="ListBullet"/>
      </w:pPr>
      <w:r>
        <w:t>Selection committee processes are reviewed as part of QAPI activities</w:t>
      </w:r>
    </w:p>
    <w:p>
      <w:pPr>
        <w:pStyle w:val="ListBullet"/>
      </w:pPr>
      <w:r>
        <w:t>Patterns of decisions are monitored for equity and consistency</w:t>
      </w:r>
    </w:p>
    <w:p>
      <w:pPr>
        <w:pStyle w:val="ListBullet"/>
      </w:pPr>
      <w:r>
        <w:t>Ethical concerns are escalated through institutional governance pathways</w:t>
      </w:r>
    </w:p>
    <w:p>
      <w:pPr>
        <w:pStyle w:val="Heading2"/>
      </w:pPr>
      <w:r>
        <w:t>13. REGULATORY REFERENCES</w:t>
      </w:r>
    </w:p>
    <w:p>
      <w:pPr>
        <w:pStyle w:val="ListBullet"/>
      </w:pPr>
      <w:r>
        <w:t>OPTN/UNOS Policies and Bylaws (including Appendix D)</w:t>
      </w:r>
    </w:p>
    <w:p>
      <w:pPr>
        <w:pStyle w:val="ListBullet"/>
      </w:pPr>
      <w:r>
        <w:t>Centers for Medicare &amp; Medicaid Services (CMS) Conditions of Participation for Transplant Programs</w:t>
      </w:r>
    </w:p>
    <w:p>
      <w:pPr>
        <w:pStyle w:val="ListBullet"/>
      </w:pPr>
      <w:r>
        <w:t>National Organ Transplant Act (NOTA)</w:t>
      </w:r>
    </w:p>
    <w:p>
      <w:pPr>
        <w:pStyle w:val="Heading2"/>
      </w:pPr>
      <w:r>
        <w:t>14. APPROVAL &amp; SIGNATURES</w:t>
      </w:r>
    </w:p>
    <w:p>
      <w:r>
        <w:t>Program Medical Director</w:t>
        <w:br/>
        <w:t>Name: __________________________</w:t>
        <w:br/>
        <w:t>Signature: ______________________</w:t>
        <w:br/>
        <w:t>Date: ___________________________</w:t>
      </w:r>
    </w:p>
    <w:p>
      <w:r>
        <w:t>Program Surgical Director</w:t>
        <w:br/>
        <w:t>Name: __________________________</w:t>
        <w:br/>
        <w:t>Signature: ______________________</w:t>
        <w:br/>
        <w:t>Date: ___________________________</w:t>
      </w:r>
    </w:p>
    <w:p>
      <w:r>
        <w:t>Transplant Nephrology Director</w:t>
        <w:br/>
        <w:t>Name: __________________________</w:t>
        <w:br/>
        <w:t>Signature: ______________________</w:t>
        <w:br/>
        <w:t>Date: ___________________________</w:t>
      </w:r>
    </w:p>
    <w:p>
      <w:r>
        <w:t>Hospital Executive Sponsor</w:t>
        <w:br/>
        <w:t>Name: __________________________</w:t>
        <w:br/>
        <w:t>Signature: ______________________</w:t>
        <w:b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08923F6-9E27-41EB-89DE-544677293130}"/>
</file>

<file path=customXml/itemProps3.xml><?xml version="1.0" encoding="utf-8"?>
<ds:datastoreItem xmlns:ds="http://schemas.openxmlformats.org/officeDocument/2006/customXml" ds:itemID="{C511599E-BC92-431E-B8A6-347E16B911B2}"/>
</file>

<file path=customXml/itemProps4.xml><?xml version="1.0" encoding="utf-8"?>
<ds:datastoreItem xmlns:ds="http://schemas.openxmlformats.org/officeDocument/2006/customXml" ds:itemID="{94E68784-2D0D-4260-8B8B-E5127EC3542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